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60" w:rsidRDefault="00897847" w:rsidP="000A693C">
      <w:pPr>
        <w:pStyle w:val="Heading1"/>
      </w:pPr>
      <w:r>
        <w:t>Project Administration Committee meeting 19</w:t>
      </w:r>
      <w:r w:rsidRPr="00897847">
        <w:rPr>
          <w:vertAlign w:val="superscript"/>
        </w:rPr>
        <w:t>th</w:t>
      </w:r>
      <w:r>
        <w:t xml:space="preserve"> September 2012</w:t>
      </w:r>
    </w:p>
    <w:p w:rsidR="00897847" w:rsidRDefault="00897847" w:rsidP="000A693C">
      <w:pPr>
        <w:pStyle w:val="Heading1"/>
      </w:pPr>
      <w:r>
        <w:t>EGI Technical Forum, Prague.</w:t>
      </w:r>
    </w:p>
    <w:p w:rsidR="00897847" w:rsidRDefault="00897847"/>
    <w:p w:rsidR="00897847" w:rsidRDefault="00897847">
      <w:r>
        <w:t>Present:</w:t>
      </w:r>
    </w:p>
    <w:tbl>
      <w:tblPr>
        <w:tblStyle w:val="LightList-Accent6"/>
        <w:tblW w:w="0" w:type="auto"/>
        <w:tblLook w:val="04A0" w:firstRow="1" w:lastRow="0" w:firstColumn="1" w:lastColumn="0" w:noHBand="0" w:noVBand="1"/>
      </w:tblPr>
      <w:tblGrid>
        <w:gridCol w:w="3080"/>
        <w:gridCol w:w="3081"/>
        <w:gridCol w:w="3081"/>
      </w:tblGrid>
      <w:tr w:rsidR="00C40BA5" w:rsidTr="000A6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40BA5" w:rsidRPr="00C40BA5" w:rsidRDefault="00C40BA5">
            <w:pPr>
              <w:rPr>
                <w:b w:val="0"/>
              </w:rPr>
            </w:pPr>
            <w:r w:rsidRPr="00C40BA5">
              <w:rPr>
                <w:b w:val="0"/>
              </w:rPr>
              <w:t>Name</w:t>
            </w:r>
          </w:p>
        </w:tc>
        <w:tc>
          <w:tcPr>
            <w:tcW w:w="3081" w:type="dxa"/>
          </w:tcPr>
          <w:p w:rsidR="00C40BA5" w:rsidRPr="00C40BA5" w:rsidRDefault="00C40BA5" w:rsidP="00C40BA5">
            <w:pPr>
              <w:cnfStyle w:val="100000000000" w:firstRow="1" w:lastRow="0" w:firstColumn="0" w:lastColumn="0" w:oddVBand="0" w:evenVBand="0" w:oddHBand="0" w:evenHBand="0" w:firstRowFirstColumn="0" w:firstRowLastColumn="0" w:lastRowFirstColumn="0" w:lastRowLastColumn="0"/>
              <w:rPr>
                <w:b w:val="0"/>
              </w:rPr>
            </w:pPr>
            <w:r w:rsidRPr="00C40BA5">
              <w:rPr>
                <w:b w:val="0"/>
              </w:rPr>
              <w:t>Institution</w:t>
            </w:r>
          </w:p>
        </w:tc>
        <w:tc>
          <w:tcPr>
            <w:tcW w:w="3081" w:type="dxa"/>
          </w:tcPr>
          <w:p w:rsidR="00C40BA5" w:rsidRPr="00C40BA5" w:rsidRDefault="00C40BA5">
            <w:pPr>
              <w:cnfStyle w:val="100000000000" w:firstRow="1" w:lastRow="0" w:firstColumn="0" w:lastColumn="0" w:oddVBand="0" w:evenVBand="0" w:oddHBand="0" w:evenHBand="0" w:firstRowFirstColumn="0" w:firstRowLastColumn="0" w:lastRowFirstColumn="0" w:lastRowLastColumn="0"/>
              <w:rPr>
                <w:b w:val="0"/>
              </w:rPr>
            </w:pPr>
            <w:r w:rsidRPr="00C40BA5">
              <w:rPr>
                <w:b w:val="0"/>
              </w:rPr>
              <w:t>NGI</w:t>
            </w:r>
          </w:p>
        </w:tc>
      </w:tr>
      <w:tr w:rsidR="00897847" w:rsidTr="000A6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97847" w:rsidRDefault="00897847">
            <w:r>
              <w:t xml:space="preserve">Csaba Hajdu </w:t>
            </w:r>
          </w:p>
        </w:tc>
        <w:tc>
          <w:tcPr>
            <w:tcW w:w="3081" w:type="dxa"/>
          </w:tcPr>
          <w:p w:rsidR="00897847" w:rsidRDefault="00C40BA5" w:rsidP="00C40BA5">
            <w:pPr>
              <w:cnfStyle w:val="000000100000" w:firstRow="0" w:lastRow="0" w:firstColumn="0" w:lastColumn="0" w:oddVBand="0" w:evenVBand="0" w:oddHBand="1" w:evenHBand="0" w:firstRowFirstColumn="0" w:firstRowLastColumn="0" w:lastRowFirstColumn="0" w:lastRowLastColumn="0"/>
            </w:pPr>
            <w:r>
              <w:t xml:space="preserve">MTA </w:t>
            </w:r>
          </w:p>
        </w:tc>
        <w:tc>
          <w:tcPr>
            <w:tcW w:w="3081" w:type="dxa"/>
          </w:tcPr>
          <w:p w:rsidR="00897847" w:rsidRDefault="00C40BA5">
            <w:pPr>
              <w:cnfStyle w:val="000000100000" w:firstRow="0" w:lastRow="0" w:firstColumn="0" w:lastColumn="0" w:oddVBand="0" w:evenVBand="0" w:oddHBand="1" w:evenHBand="0" w:firstRowFirstColumn="0" w:firstRowLastColumn="0" w:lastRowFirstColumn="0" w:lastRowLastColumn="0"/>
            </w:pPr>
            <w:r>
              <w:t>NGI_HU</w:t>
            </w:r>
          </w:p>
        </w:tc>
      </w:tr>
      <w:tr w:rsidR="00897847" w:rsidTr="000A693C">
        <w:tc>
          <w:tcPr>
            <w:cnfStyle w:val="001000000000" w:firstRow="0" w:lastRow="0" w:firstColumn="1" w:lastColumn="0" w:oddVBand="0" w:evenVBand="0" w:oddHBand="0" w:evenHBand="0" w:firstRowFirstColumn="0" w:firstRowLastColumn="0" w:lastRowFirstColumn="0" w:lastRowLastColumn="0"/>
            <w:tcW w:w="3080" w:type="dxa"/>
          </w:tcPr>
          <w:p w:rsidR="00897847" w:rsidRDefault="00C40BA5">
            <w:r>
              <w:t>Boro Jakinovski</w:t>
            </w:r>
          </w:p>
        </w:tc>
        <w:tc>
          <w:tcPr>
            <w:tcW w:w="3081" w:type="dxa"/>
          </w:tcPr>
          <w:p w:rsidR="00897847" w:rsidRDefault="00C40BA5">
            <w:pPr>
              <w:cnfStyle w:val="000000000000" w:firstRow="0" w:lastRow="0" w:firstColumn="0" w:lastColumn="0" w:oddVBand="0" w:evenVBand="0" w:oddHBand="0" w:evenHBand="0" w:firstRowFirstColumn="0" w:firstRowLastColumn="0" w:lastRowFirstColumn="0" w:lastRowLastColumn="0"/>
            </w:pPr>
            <w:r>
              <w:t>UKMI</w:t>
            </w:r>
          </w:p>
        </w:tc>
        <w:tc>
          <w:tcPr>
            <w:tcW w:w="3081" w:type="dxa"/>
          </w:tcPr>
          <w:p w:rsidR="00897847" w:rsidRDefault="00C40BA5" w:rsidP="00C40BA5">
            <w:pPr>
              <w:cnfStyle w:val="000000000000" w:firstRow="0" w:lastRow="0" w:firstColumn="0" w:lastColumn="0" w:oddVBand="0" w:evenVBand="0" w:oddHBand="0" w:evenHBand="0" w:firstRowFirstColumn="0" w:firstRowLastColumn="0" w:lastRowFirstColumn="0" w:lastRowLastColumn="0"/>
            </w:pPr>
            <w:r>
              <w:t>NGI_MK</w:t>
            </w:r>
          </w:p>
        </w:tc>
      </w:tr>
      <w:tr w:rsidR="00897847" w:rsidTr="000A6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97847" w:rsidRDefault="00C40BA5">
            <w:r>
              <w:t>Vicky Huang</w:t>
            </w:r>
          </w:p>
        </w:tc>
        <w:tc>
          <w:tcPr>
            <w:tcW w:w="3081" w:type="dxa"/>
          </w:tcPr>
          <w:p w:rsidR="00897847" w:rsidRDefault="00C40BA5">
            <w:pPr>
              <w:cnfStyle w:val="000000100000" w:firstRow="0" w:lastRow="0" w:firstColumn="0" w:lastColumn="0" w:oddVBand="0" w:evenVBand="0" w:oddHBand="1" w:evenHBand="0" w:firstRowFirstColumn="0" w:firstRowLastColumn="0" w:lastRowFirstColumn="0" w:lastRowLastColumn="0"/>
            </w:pPr>
            <w:r>
              <w:t>ASGC</w:t>
            </w:r>
          </w:p>
        </w:tc>
        <w:tc>
          <w:tcPr>
            <w:tcW w:w="3081" w:type="dxa"/>
          </w:tcPr>
          <w:p w:rsidR="00897847" w:rsidRDefault="00C40BA5">
            <w:pPr>
              <w:cnfStyle w:val="000000100000" w:firstRow="0" w:lastRow="0" w:firstColumn="0" w:lastColumn="0" w:oddVBand="0" w:evenVBand="0" w:oddHBand="1" w:evenHBand="0" w:firstRowFirstColumn="0" w:firstRowLastColumn="0" w:lastRowFirstColumn="0" w:lastRowLastColumn="0"/>
            </w:pPr>
            <w:r>
              <w:t>APGI (Asia Pacific)</w:t>
            </w:r>
          </w:p>
        </w:tc>
      </w:tr>
      <w:tr w:rsidR="00897847" w:rsidTr="000A693C">
        <w:tc>
          <w:tcPr>
            <w:cnfStyle w:val="001000000000" w:firstRow="0" w:lastRow="0" w:firstColumn="1" w:lastColumn="0" w:oddVBand="0" w:evenVBand="0" w:oddHBand="0" w:evenHBand="0" w:firstRowFirstColumn="0" w:firstRowLastColumn="0" w:lastRowFirstColumn="0" w:lastRowLastColumn="0"/>
            <w:tcW w:w="3080" w:type="dxa"/>
          </w:tcPr>
          <w:p w:rsidR="00897847" w:rsidRDefault="00C40BA5">
            <w:r>
              <w:t>Jana Rohhonova</w:t>
            </w:r>
          </w:p>
        </w:tc>
        <w:tc>
          <w:tcPr>
            <w:tcW w:w="3081" w:type="dxa"/>
          </w:tcPr>
          <w:p w:rsidR="00897847" w:rsidRDefault="00C40BA5">
            <w:pPr>
              <w:cnfStyle w:val="000000000000" w:firstRow="0" w:lastRow="0" w:firstColumn="0" w:lastColumn="0" w:oddVBand="0" w:evenVBand="0" w:oddHBand="0" w:evenHBand="0" w:firstRowFirstColumn="0" w:firstRowLastColumn="0" w:lastRowFirstColumn="0" w:lastRowLastColumn="0"/>
            </w:pPr>
            <w:r>
              <w:t>CESNET</w:t>
            </w:r>
          </w:p>
        </w:tc>
        <w:tc>
          <w:tcPr>
            <w:tcW w:w="3081" w:type="dxa"/>
          </w:tcPr>
          <w:p w:rsidR="00897847" w:rsidRDefault="00C40BA5">
            <w:pPr>
              <w:cnfStyle w:val="000000000000" w:firstRow="0" w:lastRow="0" w:firstColumn="0" w:lastColumn="0" w:oddVBand="0" w:evenVBand="0" w:oddHBand="0" w:evenHBand="0" w:firstRowFirstColumn="0" w:firstRowLastColumn="0" w:lastRowFirstColumn="0" w:lastRowLastColumn="0"/>
            </w:pPr>
            <w:r>
              <w:t>NGI_CZ</w:t>
            </w:r>
          </w:p>
        </w:tc>
      </w:tr>
      <w:tr w:rsidR="00897847" w:rsidTr="000A6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97847" w:rsidRDefault="00C40BA5">
            <w:r>
              <w:t>Simon Leinen</w:t>
            </w:r>
          </w:p>
        </w:tc>
        <w:tc>
          <w:tcPr>
            <w:tcW w:w="3081" w:type="dxa"/>
          </w:tcPr>
          <w:p w:rsidR="00897847" w:rsidRDefault="00C40BA5">
            <w:pPr>
              <w:cnfStyle w:val="000000100000" w:firstRow="0" w:lastRow="0" w:firstColumn="0" w:lastColumn="0" w:oddVBand="0" w:evenVBand="0" w:oddHBand="1" w:evenHBand="0" w:firstRowFirstColumn="0" w:firstRowLastColumn="0" w:lastRowFirstColumn="0" w:lastRowLastColumn="0"/>
            </w:pPr>
            <w:r>
              <w:t>SWITCH</w:t>
            </w:r>
          </w:p>
        </w:tc>
        <w:tc>
          <w:tcPr>
            <w:tcW w:w="3081" w:type="dxa"/>
          </w:tcPr>
          <w:p w:rsidR="00897847" w:rsidRDefault="00C40BA5">
            <w:pPr>
              <w:cnfStyle w:val="000000100000" w:firstRow="0" w:lastRow="0" w:firstColumn="0" w:lastColumn="0" w:oddVBand="0" w:evenVBand="0" w:oddHBand="1" w:evenHBand="0" w:firstRowFirstColumn="0" w:firstRowLastColumn="0" w:lastRowFirstColumn="0" w:lastRowLastColumn="0"/>
            </w:pPr>
            <w:r>
              <w:t>NGI_CH</w:t>
            </w:r>
          </w:p>
        </w:tc>
      </w:tr>
      <w:tr w:rsidR="00897847" w:rsidTr="000A693C">
        <w:tc>
          <w:tcPr>
            <w:cnfStyle w:val="001000000000" w:firstRow="0" w:lastRow="0" w:firstColumn="1" w:lastColumn="0" w:oddVBand="0" w:evenVBand="0" w:oddHBand="0" w:evenHBand="0" w:firstRowFirstColumn="0" w:firstRowLastColumn="0" w:lastRowFirstColumn="0" w:lastRowLastColumn="0"/>
            <w:tcW w:w="3080" w:type="dxa"/>
          </w:tcPr>
          <w:p w:rsidR="00897847" w:rsidRDefault="00C40BA5">
            <w:r>
              <w:t>Geraldine Fettahi</w:t>
            </w:r>
          </w:p>
        </w:tc>
        <w:tc>
          <w:tcPr>
            <w:tcW w:w="3081" w:type="dxa"/>
          </w:tcPr>
          <w:p w:rsidR="00897847" w:rsidRDefault="00C40BA5">
            <w:pPr>
              <w:cnfStyle w:val="000000000000" w:firstRow="0" w:lastRow="0" w:firstColumn="0" w:lastColumn="0" w:oddVBand="0" w:evenVBand="0" w:oddHBand="0" w:evenHBand="0" w:firstRowFirstColumn="0" w:firstRowLastColumn="0" w:lastRowFirstColumn="0" w:lastRowLastColumn="0"/>
            </w:pPr>
            <w:r>
              <w:t>CNRS</w:t>
            </w:r>
          </w:p>
        </w:tc>
        <w:tc>
          <w:tcPr>
            <w:tcW w:w="3081" w:type="dxa"/>
          </w:tcPr>
          <w:p w:rsidR="00897847" w:rsidRDefault="00C40BA5">
            <w:pPr>
              <w:cnfStyle w:val="000000000000" w:firstRow="0" w:lastRow="0" w:firstColumn="0" w:lastColumn="0" w:oddVBand="0" w:evenVBand="0" w:oddHBand="0" w:evenHBand="0" w:firstRowFirstColumn="0" w:firstRowLastColumn="0" w:lastRowFirstColumn="0" w:lastRowLastColumn="0"/>
            </w:pPr>
            <w:r>
              <w:t>NGI_FR</w:t>
            </w:r>
          </w:p>
        </w:tc>
      </w:tr>
      <w:tr w:rsidR="00897847" w:rsidTr="000A6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97847" w:rsidRDefault="00C40BA5">
            <w:r>
              <w:t>Claire Devereux</w:t>
            </w:r>
            <w:r w:rsidR="000A693C">
              <w:t xml:space="preserve"> (Chair)</w:t>
            </w:r>
          </w:p>
        </w:tc>
        <w:tc>
          <w:tcPr>
            <w:tcW w:w="3081" w:type="dxa"/>
          </w:tcPr>
          <w:p w:rsidR="00897847" w:rsidRDefault="00C40BA5">
            <w:pPr>
              <w:cnfStyle w:val="000000100000" w:firstRow="0" w:lastRow="0" w:firstColumn="0" w:lastColumn="0" w:oddVBand="0" w:evenVBand="0" w:oddHBand="1" w:evenHBand="0" w:firstRowFirstColumn="0" w:firstRowLastColumn="0" w:lastRowFirstColumn="0" w:lastRowLastColumn="0"/>
            </w:pPr>
            <w:r>
              <w:t>STFC</w:t>
            </w:r>
          </w:p>
        </w:tc>
        <w:tc>
          <w:tcPr>
            <w:tcW w:w="3081" w:type="dxa"/>
          </w:tcPr>
          <w:p w:rsidR="00897847" w:rsidRDefault="00C40BA5">
            <w:pPr>
              <w:cnfStyle w:val="000000100000" w:firstRow="0" w:lastRow="0" w:firstColumn="0" w:lastColumn="0" w:oddVBand="0" w:evenVBand="0" w:oddHBand="1" w:evenHBand="0" w:firstRowFirstColumn="0" w:firstRowLastColumn="0" w:lastRowFirstColumn="0" w:lastRowLastColumn="0"/>
            </w:pPr>
            <w:r>
              <w:t>NGI_UK</w:t>
            </w:r>
          </w:p>
        </w:tc>
      </w:tr>
      <w:tr w:rsidR="00C40BA5" w:rsidTr="000A693C">
        <w:tc>
          <w:tcPr>
            <w:cnfStyle w:val="001000000000" w:firstRow="0" w:lastRow="0" w:firstColumn="1" w:lastColumn="0" w:oddVBand="0" w:evenVBand="0" w:oddHBand="0" w:evenHBand="0" w:firstRowFirstColumn="0" w:firstRowLastColumn="0" w:lastRowFirstColumn="0" w:lastRowLastColumn="0"/>
            <w:tcW w:w="3080" w:type="dxa"/>
          </w:tcPr>
          <w:p w:rsidR="00C40BA5" w:rsidRDefault="00C40BA5" w:rsidP="00B80F27">
            <w:r>
              <w:t>Rob van der Meer</w:t>
            </w:r>
          </w:p>
        </w:tc>
        <w:tc>
          <w:tcPr>
            <w:tcW w:w="3081" w:type="dxa"/>
          </w:tcPr>
          <w:p w:rsidR="00C40BA5" w:rsidRDefault="00C40BA5" w:rsidP="00B80F27">
            <w:pPr>
              <w:cnfStyle w:val="000000000000" w:firstRow="0" w:lastRow="0" w:firstColumn="0" w:lastColumn="0" w:oddVBand="0" w:evenVBand="0" w:oddHBand="0" w:evenHBand="0" w:firstRowFirstColumn="0" w:firstRowLastColumn="0" w:lastRowFirstColumn="0" w:lastRowLastColumn="0"/>
            </w:pPr>
            <w:r>
              <w:t>EGI.eu</w:t>
            </w:r>
          </w:p>
        </w:tc>
        <w:tc>
          <w:tcPr>
            <w:tcW w:w="3081" w:type="dxa"/>
          </w:tcPr>
          <w:p w:rsidR="00C40BA5" w:rsidRDefault="00C40BA5" w:rsidP="00B80F27">
            <w:pPr>
              <w:cnfStyle w:val="000000000000" w:firstRow="0" w:lastRow="0" w:firstColumn="0" w:lastColumn="0" w:oddVBand="0" w:evenVBand="0" w:oddHBand="0" w:evenHBand="0" w:firstRowFirstColumn="0" w:firstRowLastColumn="0" w:lastRowFirstColumn="0" w:lastRowLastColumn="0"/>
            </w:pPr>
            <w:r>
              <w:t>-</w:t>
            </w:r>
          </w:p>
        </w:tc>
      </w:tr>
      <w:tr w:rsidR="00C40BA5" w:rsidTr="000A6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40BA5" w:rsidRDefault="00C40BA5" w:rsidP="00B80F27">
            <w:r>
              <w:t>Sjomara Specht</w:t>
            </w:r>
          </w:p>
        </w:tc>
        <w:tc>
          <w:tcPr>
            <w:tcW w:w="3081" w:type="dxa"/>
          </w:tcPr>
          <w:p w:rsidR="00C40BA5" w:rsidRDefault="00C40BA5" w:rsidP="00B80F27">
            <w:pPr>
              <w:cnfStyle w:val="000000100000" w:firstRow="0" w:lastRow="0" w:firstColumn="0" w:lastColumn="0" w:oddVBand="0" w:evenVBand="0" w:oddHBand="1" w:evenHBand="0" w:firstRowFirstColumn="0" w:firstRowLastColumn="0" w:lastRowFirstColumn="0" w:lastRowLastColumn="0"/>
            </w:pPr>
            <w:r>
              <w:t>EGI.eu</w:t>
            </w:r>
          </w:p>
        </w:tc>
        <w:tc>
          <w:tcPr>
            <w:tcW w:w="3081" w:type="dxa"/>
          </w:tcPr>
          <w:p w:rsidR="00C40BA5" w:rsidRDefault="00C40BA5" w:rsidP="00B80F27">
            <w:pPr>
              <w:cnfStyle w:val="000000100000" w:firstRow="0" w:lastRow="0" w:firstColumn="0" w:lastColumn="0" w:oddVBand="0" w:evenVBand="0" w:oddHBand="1" w:evenHBand="0" w:firstRowFirstColumn="0" w:firstRowLastColumn="0" w:lastRowFirstColumn="0" w:lastRowLastColumn="0"/>
            </w:pPr>
            <w:r>
              <w:t>-</w:t>
            </w:r>
          </w:p>
        </w:tc>
      </w:tr>
      <w:tr w:rsidR="00C40BA5" w:rsidTr="000A693C">
        <w:tc>
          <w:tcPr>
            <w:cnfStyle w:val="001000000000" w:firstRow="0" w:lastRow="0" w:firstColumn="1" w:lastColumn="0" w:oddVBand="0" w:evenVBand="0" w:oddHBand="0" w:evenHBand="0" w:firstRowFirstColumn="0" w:firstRowLastColumn="0" w:lastRowFirstColumn="0" w:lastRowLastColumn="0"/>
            <w:tcW w:w="3080" w:type="dxa"/>
          </w:tcPr>
          <w:p w:rsidR="00C40BA5" w:rsidRDefault="00C40BA5" w:rsidP="00B80F27">
            <w:r>
              <w:t>Catherine Gater</w:t>
            </w:r>
          </w:p>
        </w:tc>
        <w:tc>
          <w:tcPr>
            <w:tcW w:w="3081" w:type="dxa"/>
          </w:tcPr>
          <w:p w:rsidR="00C40BA5" w:rsidRDefault="00C40BA5" w:rsidP="00B80F27">
            <w:pPr>
              <w:cnfStyle w:val="000000000000" w:firstRow="0" w:lastRow="0" w:firstColumn="0" w:lastColumn="0" w:oddVBand="0" w:evenVBand="0" w:oddHBand="0" w:evenHBand="0" w:firstRowFirstColumn="0" w:firstRowLastColumn="0" w:lastRowFirstColumn="0" w:lastRowLastColumn="0"/>
            </w:pPr>
            <w:r>
              <w:t>EGI.eu</w:t>
            </w:r>
          </w:p>
        </w:tc>
        <w:tc>
          <w:tcPr>
            <w:tcW w:w="3081" w:type="dxa"/>
          </w:tcPr>
          <w:p w:rsidR="00C40BA5" w:rsidRDefault="00C40BA5" w:rsidP="00B80F27">
            <w:pPr>
              <w:cnfStyle w:val="000000000000" w:firstRow="0" w:lastRow="0" w:firstColumn="0" w:lastColumn="0" w:oddVBand="0" w:evenVBand="0" w:oddHBand="0" w:evenHBand="0" w:firstRowFirstColumn="0" w:firstRowLastColumn="0" w:lastRowFirstColumn="0" w:lastRowLastColumn="0"/>
            </w:pPr>
            <w:r>
              <w:t>-</w:t>
            </w:r>
          </w:p>
        </w:tc>
      </w:tr>
      <w:tr w:rsidR="00C40BA5" w:rsidTr="000A6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40BA5" w:rsidRDefault="00C40BA5" w:rsidP="000A693C">
            <w:r>
              <w:t>C</w:t>
            </w:r>
            <w:r w:rsidR="000A693C">
              <w:t>e</w:t>
            </w:r>
            <w:r>
              <w:t>line Bitoune</w:t>
            </w:r>
          </w:p>
        </w:tc>
        <w:tc>
          <w:tcPr>
            <w:tcW w:w="3081" w:type="dxa"/>
          </w:tcPr>
          <w:p w:rsidR="00C40BA5" w:rsidRDefault="00C40BA5" w:rsidP="00B80F27">
            <w:pPr>
              <w:cnfStyle w:val="000000100000" w:firstRow="0" w:lastRow="0" w:firstColumn="0" w:lastColumn="0" w:oddVBand="0" w:evenVBand="0" w:oddHBand="1" w:evenHBand="0" w:firstRowFirstColumn="0" w:firstRowLastColumn="0" w:lastRowFirstColumn="0" w:lastRowLastColumn="0"/>
            </w:pPr>
            <w:r>
              <w:t>EGI.eu</w:t>
            </w:r>
          </w:p>
        </w:tc>
        <w:tc>
          <w:tcPr>
            <w:tcW w:w="3081" w:type="dxa"/>
          </w:tcPr>
          <w:p w:rsidR="00C40BA5" w:rsidRDefault="00C40BA5" w:rsidP="00B80F27">
            <w:pPr>
              <w:cnfStyle w:val="000000100000" w:firstRow="0" w:lastRow="0" w:firstColumn="0" w:lastColumn="0" w:oddVBand="0" w:evenVBand="0" w:oddHBand="1" w:evenHBand="0" w:firstRowFirstColumn="0" w:firstRowLastColumn="0" w:lastRowFirstColumn="0" w:lastRowLastColumn="0"/>
            </w:pPr>
            <w:r>
              <w:t>-</w:t>
            </w:r>
          </w:p>
        </w:tc>
      </w:tr>
    </w:tbl>
    <w:p w:rsidR="00897847" w:rsidRDefault="00897847"/>
    <w:p w:rsidR="000A693C" w:rsidRDefault="000A693C"/>
    <w:p w:rsidR="00B80F27" w:rsidRDefault="00B80F27" w:rsidP="00B80F27">
      <w:r>
        <w:t>Agenda</w:t>
      </w:r>
    </w:p>
    <w:p w:rsidR="00B80F27" w:rsidRDefault="00B80F27" w:rsidP="00B80F27">
      <w:pPr>
        <w:pStyle w:val="ListParagraph"/>
        <w:numPr>
          <w:ilvl w:val="0"/>
          <w:numId w:val="1"/>
        </w:numPr>
      </w:pPr>
      <w:r>
        <w:t>Payments and remaining budgets</w:t>
      </w:r>
    </w:p>
    <w:p w:rsidR="00B80F27" w:rsidRDefault="00B80F27" w:rsidP="00B80F27">
      <w:pPr>
        <w:pStyle w:val="ListParagraph"/>
        <w:numPr>
          <w:ilvl w:val="0"/>
          <w:numId w:val="1"/>
        </w:numPr>
      </w:pPr>
      <w:r>
        <w:t>Global Task payments</w:t>
      </w:r>
    </w:p>
    <w:p w:rsidR="00B80F27" w:rsidRDefault="00B80F27" w:rsidP="00B80F27">
      <w:pPr>
        <w:pStyle w:val="ListParagraph"/>
        <w:numPr>
          <w:ilvl w:val="0"/>
          <w:numId w:val="1"/>
        </w:numPr>
      </w:pPr>
      <w:r>
        <w:t>Amendment no. 2</w:t>
      </w:r>
    </w:p>
    <w:p w:rsidR="00B80F27" w:rsidRDefault="00B80F27" w:rsidP="00B80F27">
      <w:pPr>
        <w:pStyle w:val="ListParagraph"/>
        <w:numPr>
          <w:ilvl w:val="0"/>
          <w:numId w:val="1"/>
        </w:numPr>
      </w:pPr>
      <w:r>
        <w:t>PPT and Quarterly Reports</w:t>
      </w:r>
    </w:p>
    <w:p w:rsidR="00B80F27" w:rsidRDefault="00B80F27" w:rsidP="00B80F27">
      <w:pPr>
        <w:pStyle w:val="ListParagraph"/>
        <w:numPr>
          <w:ilvl w:val="0"/>
          <w:numId w:val="1"/>
        </w:numPr>
      </w:pPr>
      <w:r>
        <w:t>Q and A</w:t>
      </w:r>
    </w:p>
    <w:p w:rsidR="00B80F27" w:rsidRDefault="00B80F27" w:rsidP="00B80F27">
      <w:pPr>
        <w:pStyle w:val="ListParagraph"/>
      </w:pPr>
    </w:p>
    <w:p w:rsidR="00B80F27" w:rsidRDefault="00B80F27" w:rsidP="00B80F27">
      <w:pPr>
        <w:pStyle w:val="ListParagraph"/>
      </w:pPr>
    </w:p>
    <w:p w:rsidR="00B80F27" w:rsidRDefault="00826F1C" w:rsidP="00B80F27">
      <w:pPr>
        <w:pStyle w:val="ListParagraph"/>
      </w:pPr>
      <w:r>
        <w:t>Claire Devere</w:t>
      </w:r>
      <w:r w:rsidR="00B80F27">
        <w:t xml:space="preserve">ux welcomed everyone in Prague and </w:t>
      </w:r>
      <w:r>
        <w:t>discussions started at 11h10.</w:t>
      </w:r>
    </w:p>
    <w:p w:rsidR="00B80F27" w:rsidRDefault="00B80F27" w:rsidP="00B80F27">
      <w:pPr>
        <w:pStyle w:val="ListParagraph"/>
      </w:pPr>
    </w:p>
    <w:p w:rsidR="00B80F27" w:rsidRDefault="00B80F27" w:rsidP="00B80F27">
      <w:pPr>
        <w:pStyle w:val="ListParagraph"/>
        <w:rPr>
          <w:b/>
          <w:color w:val="31849B" w:themeColor="accent5" w:themeShade="BF"/>
        </w:rPr>
      </w:pPr>
      <w:r w:rsidRPr="00B80F27">
        <w:rPr>
          <w:b/>
          <w:color w:val="31849B" w:themeColor="accent5" w:themeShade="BF"/>
        </w:rPr>
        <w:t>Payments and remaining budgets</w:t>
      </w:r>
    </w:p>
    <w:p w:rsidR="009259C6" w:rsidRPr="009259C6" w:rsidRDefault="00B80F27" w:rsidP="00B80F27">
      <w:pPr>
        <w:pStyle w:val="ListParagraph"/>
        <w:rPr>
          <w:u w:val="single"/>
        </w:rPr>
      </w:pPr>
      <w:r w:rsidRPr="009259C6">
        <w:rPr>
          <w:u w:val="single"/>
        </w:rPr>
        <w:t>PY2 costs session</w:t>
      </w:r>
      <w:r w:rsidR="009259C6" w:rsidRPr="009259C6">
        <w:rPr>
          <w:u w:val="single"/>
        </w:rPr>
        <w:t>:</w:t>
      </w:r>
    </w:p>
    <w:p w:rsidR="00826F1C" w:rsidRDefault="009259C6" w:rsidP="00B80F27">
      <w:pPr>
        <w:pStyle w:val="ListParagraph"/>
      </w:pPr>
      <w:r>
        <w:t>It is</w:t>
      </w:r>
      <w:r w:rsidR="00B80F27">
        <w:t xml:space="preserve"> still under review</w:t>
      </w:r>
      <w:r>
        <w:t xml:space="preserve"> after most of the clarifications have been forwarded to the Financial EC Officer</w:t>
      </w:r>
      <w:r w:rsidR="00826F1C">
        <w:t xml:space="preserve">. </w:t>
      </w:r>
      <w:r>
        <w:t xml:space="preserve">He was on holiday the last two weeks and we hope that we can finalise the process of clarifications within 1-2 weeks, then submit the session and get it validated. </w:t>
      </w:r>
    </w:p>
    <w:p w:rsidR="00826F1C" w:rsidRPr="00826F1C" w:rsidRDefault="00826F1C" w:rsidP="00B80F27">
      <w:pPr>
        <w:pStyle w:val="ListParagraph"/>
        <w:rPr>
          <w:i/>
        </w:rPr>
      </w:pPr>
    </w:p>
    <w:p w:rsidR="00826F1C" w:rsidRPr="00826F1C" w:rsidRDefault="00826F1C" w:rsidP="00B80F27">
      <w:pPr>
        <w:pStyle w:val="ListParagraph"/>
        <w:rPr>
          <w:i/>
        </w:rPr>
      </w:pPr>
      <w:r w:rsidRPr="00826F1C">
        <w:rPr>
          <w:i/>
        </w:rPr>
        <w:t>Additional notes to the minutes: please note that we will have less than 2 weeks to prepare the signature of the Form Cs validated. The shipment of original signed Form Cs to the Commission will determined the timeline for the next payment.</w:t>
      </w:r>
    </w:p>
    <w:p w:rsidR="00826F1C" w:rsidRDefault="00826F1C" w:rsidP="00B80F27">
      <w:pPr>
        <w:pStyle w:val="ListParagraph"/>
      </w:pPr>
    </w:p>
    <w:p w:rsidR="004D037C" w:rsidRDefault="00B80F27" w:rsidP="00B80F27">
      <w:pPr>
        <w:pStyle w:val="ListParagraph"/>
      </w:pPr>
      <w:r>
        <w:lastRenderedPageBreak/>
        <w:t xml:space="preserve">The </w:t>
      </w:r>
      <w:r w:rsidR="00826F1C">
        <w:t xml:space="preserve">review report states that financial report was fully compliant and efficient provided in time despite the size of the project.  </w:t>
      </w:r>
      <w:r>
        <w:t xml:space="preserve"> </w:t>
      </w:r>
      <w:r w:rsidR="00826F1C">
        <w:t xml:space="preserve">We were even asked to provide in-depth details </w:t>
      </w:r>
      <w:r w:rsidR="004D037C">
        <w:t>of the</w:t>
      </w:r>
      <w:r w:rsidR="00826F1C">
        <w:t xml:space="preserve"> actual costs which NGIs spent on Global tasks. These costs were presented and assessed per services and tasks which are currently supported by NGIs</w:t>
      </w:r>
      <w:r w:rsidR="004D037C">
        <w:t xml:space="preserve"> and possibly will still be supported beyond the project funding. </w:t>
      </w:r>
      <w:r w:rsidR="00826F1C">
        <w:t xml:space="preserve"> </w:t>
      </w:r>
      <w:r w:rsidR="004D037C">
        <w:t xml:space="preserve">Although we prepared a template to identify your members per tasks over the year declaration in PPT, we know that it took an additional amount of time from your side to provide accurate figures. </w:t>
      </w:r>
    </w:p>
    <w:p w:rsidR="004D037C" w:rsidRDefault="004D037C" w:rsidP="00B80F27">
      <w:pPr>
        <w:pStyle w:val="ListParagraph"/>
      </w:pPr>
    </w:p>
    <w:p w:rsidR="00B80F27" w:rsidRDefault="004D037C" w:rsidP="00B80F27">
      <w:pPr>
        <w:pStyle w:val="ListParagraph"/>
      </w:pPr>
      <w:r>
        <w:t>So Thank</w:t>
      </w:r>
      <w:r w:rsidR="00B80F27">
        <w:t xml:space="preserve"> you </w:t>
      </w:r>
      <w:r>
        <w:t>for your contributions in this complex process!</w:t>
      </w:r>
    </w:p>
    <w:p w:rsidR="00B80F27" w:rsidRDefault="00B80F27" w:rsidP="00B80F27">
      <w:pPr>
        <w:pStyle w:val="ListParagraph"/>
      </w:pPr>
    </w:p>
    <w:p w:rsidR="00B80F27" w:rsidRPr="00746FD9" w:rsidRDefault="00B80F27" w:rsidP="00B80F27">
      <w:pPr>
        <w:pStyle w:val="ListParagraph"/>
        <w:rPr>
          <w:u w:val="single"/>
        </w:rPr>
      </w:pPr>
      <w:r w:rsidRPr="00746FD9">
        <w:rPr>
          <w:u w:val="single"/>
        </w:rPr>
        <w:t>Remaining Budget</w:t>
      </w:r>
      <w:r w:rsidR="00746FD9">
        <w:rPr>
          <w:u w:val="single"/>
        </w:rPr>
        <w:t>:</w:t>
      </w:r>
    </w:p>
    <w:p w:rsidR="003B5918" w:rsidRDefault="00746FD9" w:rsidP="00B80F27">
      <w:pPr>
        <w:pStyle w:val="ListParagraph"/>
      </w:pPr>
      <w:r>
        <w:t xml:space="preserve">In </w:t>
      </w:r>
      <w:r w:rsidR="003B5918">
        <w:t>P</w:t>
      </w:r>
      <w:r>
        <w:t xml:space="preserve">Y2, a total payment of </w:t>
      </w:r>
      <w:r w:rsidRPr="00746FD9">
        <w:t>6</w:t>
      </w:r>
      <w:r>
        <w:t>,</w:t>
      </w:r>
      <w:r w:rsidRPr="00746FD9">
        <w:t>863</w:t>
      </w:r>
      <w:r>
        <w:t>,</w:t>
      </w:r>
      <w:r w:rsidRPr="00746FD9">
        <w:t>443</w:t>
      </w:r>
      <w:r>
        <w:t xml:space="preserve">€ has been transferred to the partners, including the balance of payments related to costs accepted in </w:t>
      </w:r>
      <w:r w:rsidR="003B5918">
        <w:t>PY</w:t>
      </w:r>
      <w:r>
        <w:t xml:space="preserve">1 (PQ4-5-6-7). </w:t>
      </w:r>
      <w:r w:rsidR="003B5918">
        <w:t xml:space="preserve">The project ceiling is set up at 90% of the total project budget, so ~21M, of which we already received 14M. </w:t>
      </w:r>
    </w:p>
    <w:p w:rsidR="003B5918" w:rsidRDefault="003B5918" w:rsidP="00B80F27">
      <w:pPr>
        <w:pStyle w:val="ListParagraph"/>
      </w:pPr>
    </w:p>
    <w:p w:rsidR="003B5918" w:rsidRDefault="003B5918" w:rsidP="00B80F27">
      <w:pPr>
        <w:pStyle w:val="ListParagraph"/>
      </w:pPr>
      <w:r>
        <w:t xml:space="preserve">By consequence all costs submitted in PY2, </w:t>
      </w:r>
      <w:r>
        <w:t xml:space="preserve">estimated today at 6,978,609€, </w:t>
      </w:r>
      <w:r>
        <w:t>shall be paid if accepted by the Commission. The expected reimbursements to partners amount to 2M. This is the estimated balance between the advance quarterly payments paid out throughout PY2 and the costs submitted in PY2.</w:t>
      </w:r>
    </w:p>
    <w:p w:rsidR="003B5918" w:rsidRDefault="003B5918" w:rsidP="00B80F27">
      <w:pPr>
        <w:pStyle w:val="ListParagraph"/>
      </w:pPr>
      <w:r>
        <w:t xml:space="preserve"> </w:t>
      </w:r>
    </w:p>
    <w:p w:rsidR="00B80F27" w:rsidRDefault="003B5918" w:rsidP="00B80F27">
      <w:pPr>
        <w:pStyle w:val="ListParagraph"/>
      </w:pPr>
      <w:r>
        <w:t>Finally in this scenario, the project office would still own 6,300,000</w:t>
      </w:r>
      <w:commentRangeStart w:id="0"/>
      <w:r>
        <w:t>€</w:t>
      </w:r>
      <w:commentRangeEnd w:id="0"/>
      <w:r w:rsidR="00E619A2">
        <w:rPr>
          <w:rStyle w:val="CommentReference"/>
        </w:rPr>
        <w:commentReference w:id="0"/>
      </w:r>
      <w:r>
        <w:t xml:space="preserve"> to distribute along Y3 and based on quarterly reporting of efforts used.  Given the average of </w:t>
      </w:r>
      <w:r w:rsidR="00FE5BC2">
        <w:t xml:space="preserve">advance paid out </w:t>
      </w:r>
      <w:r>
        <w:t xml:space="preserve">in PY1 and PY2, </w:t>
      </w:r>
      <w:r w:rsidR="00FE5BC2">
        <w:t>it</w:t>
      </w:r>
      <w:r>
        <w:t xml:space="preserve"> shall </w:t>
      </w:r>
      <w:r w:rsidR="00487797">
        <w:t xml:space="preserve">fully </w:t>
      </w:r>
      <w:r>
        <w:t xml:space="preserve">cover </w:t>
      </w:r>
      <w:r w:rsidR="00FE5BC2">
        <w:t>payments of PQ8, PQ9</w:t>
      </w:r>
      <w:r w:rsidR="00487797">
        <w:t xml:space="preserve"> and</w:t>
      </w:r>
      <w:r w:rsidR="00FE5BC2">
        <w:t xml:space="preserve"> PQ10.</w:t>
      </w:r>
    </w:p>
    <w:p w:rsidR="00AF748C" w:rsidRDefault="00AF748C" w:rsidP="00B80F27">
      <w:pPr>
        <w:pStyle w:val="ListParagraph"/>
      </w:pPr>
    </w:p>
    <w:p w:rsidR="00AF748C" w:rsidRDefault="00AF748C" w:rsidP="00B80F27">
      <w:pPr>
        <w:pStyle w:val="ListParagraph"/>
      </w:pPr>
      <w:r>
        <w:t xml:space="preserve">After acceptance of the Form Cs, and in preparation of payments of PY2 closure and PQ9, these figures will be </w:t>
      </w:r>
      <w:commentRangeStart w:id="1"/>
      <w:r>
        <w:t>adjusted</w:t>
      </w:r>
      <w:commentRangeEnd w:id="1"/>
      <w:r>
        <w:rPr>
          <w:rStyle w:val="CommentReference"/>
        </w:rPr>
        <w:commentReference w:id="1"/>
      </w:r>
      <w:r>
        <w:t xml:space="preserve"> and communicated to the financial list.  </w:t>
      </w:r>
    </w:p>
    <w:p w:rsidR="00B80F27" w:rsidRDefault="00B80F27" w:rsidP="00B80F27">
      <w:pPr>
        <w:pStyle w:val="ListParagraph"/>
      </w:pPr>
    </w:p>
    <w:p w:rsidR="00B80F27" w:rsidRDefault="00B80F27" w:rsidP="00B80F27">
      <w:pPr>
        <w:pStyle w:val="ListParagraph"/>
        <w:rPr>
          <w:b/>
          <w:color w:val="31849B" w:themeColor="accent5" w:themeShade="BF"/>
        </w:rPr>
      </w:pPr>
      <w:r w:rsidRPr="00B80F27">
        <w:rPr>
          <w:b/>
          <w:color w:val="31849B" w:themeColor="accent5" w:themeShade="BF"/>
        </w:rPr>
        <w:t>Global Task Payment</w:t>
      </w:r>
    </w:p>
    <w:p w:rsidR="00CB1D9F" w:rsidRDefault="00B80F27" w:rsidP="00B80F27">
      <w:pPr>
        <w:pStyle w:val="ListParagraph"/>
      </w:pPr>
      <w:r>
        <w:t xml:space="preserve">As </w:t>
      </w:r>
      <w:r w:rsidR="00CB1D9F">
        <w:t xml:space="preserve">a reminder, </w:t>
      </w:r>
      <w:r>
        <w:t>Global Tasks payment</w:t>
      </w:r>
      <w:r w:rsidR="00CB1D9F">
        <w:t xml:space="preserve"> (also called E-Tasks)</w:t>
      </w:r>
      <w:r>
        <w:t xml:space="preserve"> is a combination of </w:t>
      </w:r>
      <w:r w:rsidR="00992195">
        <w:t>funding between the EC (25%</w:t>
      </w:r>
      <w:r w:rsidR="00CB1D9F">
        <w:t xml:space="preserve">), </w:t>
      </w:r>
      <w:r>
        <w:t xml:space="preserve">EGI.eu (25%) </w:t>
      </w:r>
      <w:r w:rsidR="00CB1D9F">
        <w:t xml:space="preserve">and the NGIs matching the costs up to 50%. </w:t>
      </w:r>
    </w:p>
    <w:p w:rsidR="00CB1D9F" w:rsidRDefault="00CB1D9F" w:rsidP="00B80F27">
      <w:pPr>
        <w:pStyle w:val="ListParagraph"/>
      </w:pPr>
    </w:p>
    <w:p w:rsidR="00B80F27" w:rsidRDefault="00CB1D9F" w:rsidP="00B80F27">
      <w:pPr>
        <w:pStyle w:val="ListParagraph"/>
      </w:pPr>
      <w:r>
        <w:t>Due to budget restriction and in order to allow the project office to function properly until the closure of the project it has been voted by the t</w:t>
      </w:r>
      <w:r w:rsidR="00B80F27">
        <w:t xml:space="preserve">he council decided </w:t>
      </w:r>
      <w:r w:rsidR="001F7977">
        <w:t xml:space="preserve">to hold EGI.eu payments for Global tasks </w:t>
      </w:r>
      <w:r>
        <w:t xml:space="preserve">due in </w:t>
      </w:r>
      <w:r w:rsidR="001F7977">
        <w:t>PY4.</w:t>
      </w:r>
      <w:r>
        <w:t xml:space="preserve"> These payments will be honoured once the EC </w:t>
      </w:r>
      <w:r w:rsidR="003B4881">
        <w:t xml:space="preserve">release the </w:t>
      </w:r>
      <w:r>
        <w:t xml:space="preserve">final payment (10% </w:t>
      </w:r>
      <w:r w:rsidR="003B4881">
        <w:t>of the total budget, i.e. 2,5M).</w:t>
      </w:r>
    </w:p>
    <w:p w:rsidR="00DE0AEE" w:rsidRDefault="00DE0AEE" w:rsidP="00B80F27">
      <w:pPr>
        <w:pStyle w:val="ListParagraph"/>
      </w:pPr>
    </w:p>
    <w:p w:rsidR="00DE0AEE" w:rsidRDefault="00DE0AEE" w:rsidP="00B80F27">
      <w:pPr>
        <w:pStyle w:val="ListParagraph"/>
      </w:pPr>
      <w:r>
        <w:t>A financial analysis of the global tasks payment is available hereafter:</w:t>
      </w:r>
    </w:p>
    <w:p w:rsidR="00DE0AEE" w:rsidRDefault="00DE0AEE" w:rsidP="00DE0AEE">
      <w:pPr>
        <w:pStyle w:val="ListParagraph"/>
      </w:pPr>
      <w:r>
        <w:t>Total payments made in PY2 amount to</w:t>
      </w:r>
      <w:r w:rsidR="00C65C8A">
        <w:t xml:space="preserve"> 649,648€. The remaining budget given that PY4 Global tasks payment is on hold totals ~724,000€. And this will cover the full PY3 payments.</w:t>
      </w:r>
    </w:p>
    <w:p w:rsidR="00CB1D9F" w:rsidRDefault="00CB1D9F" w:rsidP="00B80F27">
      <w:pPr>
        <w:pStyle w:val="ListParagraph"/>
      </w:pPr>
    </w:p>
    <w:p w:rsidR="001F7977" w:rsidRDefault="001F7977" w:rsidP="00B80F27">
      <w:pPr>
        <w:pStyle w:val="ListParagraph"/>
        <w:rPr>
          <w:b/>
          <w:color w:val="31849B" w:themeColor="accent5" w:themeShade="BF"/>
        </w:rPr>
      </w:pPr>
      <w:r w:rsidRPr="001F7977">
        <w:rPr>
          <w:b/>
          <w:color w:val="31849B" w:themeColor="accent5" w:themeShade="BF"/>
        </w:rPr>
        <w:t>Amendment no2</w:t>
      </w:r>
    </w:p>
    <w:p w:rsidR="00C65C8A" w:rsidRPr="00992195" w:rsidRDefault="00C65C8A" w:rsidP="00B80F27">
      <w:pPr>
        <w:pStyle w:val="ListParagraph"/>
        <w:rPr>
          <w:u w:val="single"/>
        </w:rPr>
      </w:pPr>
      <w:r w:rsidRPr="00992195">
        <w:rPr>
          <w:u w:val="single"/>
        </w:rPr>
        <w:t>Closure of Task SA2.5:</w:t>
      </w:r>
    </w:p>
    <w:p w:rsidR="001F7977" w:rsidRDefault="00C65C8A" w:rsidP="00B80F27">
      <w:pPr>
        <w:pStyle w:val="ListParagraph"/>
      </w:pPr>
      <w:r>
        <w:t>It was proposed to the reviewers to close Task</w:t>
      </w:r>
      <w:r w:rsidR="001F7977">
        <w:t xml:space="preserve"> TSA2.5 </w:t>
      </w:r>
      <w:r>
        <w:t>at the end of PY2</w:t>
      </w:r>
      <w:r w:rsidR="00EC20CB">
        <w:t xml:space="preserve"> and shift the remaining efforts to the tasks SA1.7</w:t>
      </w:r>
      <w:r>
        <w:t xml:space="preserve">. However given the lateness in delivering the review report and thus the acceptance of the EC for the proposed changes, </w:t>
      </w:r>
      <w:r w:rsidR="003A613D">
        <w:t xml:space="preserve">it was decided to still </w:t>
      </w:r>
      <w:r w:rsidR="003A613D">
        <w:lastRenderedPageBreak/>
        <w:t>pay efforts recorded in PQ9</w:t>
      </w:r>
      <w:r>
        <w:t xml:space="preserve">. </w:t>
      </w:r>
      <w:r w:rsidR="003A613D">
        <w:t>And</w:t>
      </w:r>
      <w:r w:rsidR="001F7977">
        <w:t xml:space="preserve"> </w:t>
      </w:r>
      <w:r>
        <w:t xml:space="preserve">remaining efforts </w:t>
      </w:r>
      <w:r w:rsidR="001F7977">
        <w:t>are now merged in</w:t>
      </w:r>
      <w:r>
        <w:t xml:space="preserve">to the new sub-tasks </w:t>
      </w:r>
      <w:r w:rsidR="0003379D">
        <w:t xml:space="preserve">of </w:t>
      </w:r>
      <w:r>
        <w:t xml:space="preserve">TSA1.7E: </w:t>
      </w:r>
    </w:p>
    <w:p w:rsidR="0003379D" w:rsidRDefault="0003379D" w:rsidP="0003379D">
      <w:pPr>
        <w:pStyle w:val="ListParagraph"/>
        <w:numPr>
          <w:ilvl w:val="0"/>
          <w:numId w:val="2"/>
        </w:numPr>
      </w:pPr>
      <w:r>
        <w:t>TSA1.7</w:t>
      </w:r>
      <w:r>
        <w:tab/>
        <w:t>Oversight &amp; Follow-up</w:t>
      </w:r>
    </w:p>
    <w:p w:rsidR="0003379D" w:rsidRDefault="0003379D" w:rsidP="0003379D">
      <w:pPr>
        <w:pStyle w:val="ListParagraph"/>
        <w:numPr>
          <w:ilvl w:val="0"/>
          <w:numId w:val="2"/>
        </w:numPr>
      </w:pPr>
      <w:r>
        <w:t>TSA1.7</w:t>
      </w:r>
      <w:r>
        <w:tab/>
        <w:t>Triage &amp; assignment</w:t>
      </w:r>
    </w:p>
    <w:p w:rsidR="0003379D" w:rsidRDefault="0003379D" w:rsidP="0003379D">
      <w:pPr>
        <w:pStyle w:val="ListParagraph"/>
        <w:numPr>
          <w:ilvl w:val="0"/>
          <w:numId w:val="2"/>
        </w:numPr>
      </w:pPr>
      <w:r>
        <w:t>TSA1.7</w:t>
      </w:r>
      <w:r>
        <w:tab/>
        <w:t>1st/2nd Level Support</w:t>
      </w:r>
    </w:p>
    <w:p w:rsidR="001F7977" w:rsidRDefault="00A01310" w:rsidP="0003379D">
      <w:pPr>
        <w:pStyle w:val="ListParagraph"/>
        <w:numPr>
          <w:ilvl w:val="0"/>
          <w:numId w:val="2"/>
        </w:numPr>
      </w:pPr>
      <w:r>
        <w:t>TSA1.7</w:t>
      </w:r>
      <w:r>
        <w:tab/>
        <w:t>Support team C</w:t>
      </w:r>
      <w:r w:rsidR="0003379D">
        <w:t>oord</w:t>
      </w:r>
      <w:r>
        <w:t>ination</w:t>
      </w:r>
    </w:p>
    <w:p w:rsidR="0003379D" w:rsidRDefault="0003379D" w:rsidP="0003379D">
      <w:pPr>
        <w:pStyle w:val="ListParagraph"/>
      </w:pPr>
    </w:p>
    <w:p w:rsidR="001F7977" w:rsidRDefault="009B0EC1" w:rsidP="00B80F27">
      <w:pPr>
        <w:pStyle w:val="ListParagraph"/>
      </w:pPr>
      <w:r>
        <w:t xml:space="preserve">The project office is in the process of recording the new members in these tasks. </w:t>
      </w:r>
      <w:r w:rsidR="001F7977">
        <w:t>If you or your members are not able to fill in the Time Sheet with this new sub-task, please let us know which member(s) it concerns and from when the Task needs to be added into the TS/Member account.</w:t>
      </w:r>
    </w:p>
    <w:p w:rsidR="001F7977" w:rsidRDefault="001F7977" w:rsidP="00B80F27">
      <w:pPr>
        <w:pStyle w:val="ListParagraph"/>
      </w:pPr>
    </w:p>
    <w:p w:rsidR="009B0EC1" w:rsidRPr="00992195" w:rsidRDefault="009B0EC1" w:rsidP="00B80F27">
      <w:pPr>
        <w:pStyle w:val="ListParagraph"/>
        <w:rPr>
          <w:u w:val="single"/>
        </w:rPr>
      </w:pPr>
      <w:r w:rsidRPr="00992195">
        <w:rPr>
          <w:u w:val="single"/>
        </w:rPr>
        <w:t xml:space="preserve">New </w:t>
      </w:r>
      <w:r w:rsidR="001F7977" w:rsidRPr="00992195">
        <w:rPr>
          <w:u w:val="single"/>
        </w:rPr>
        <w:t>WP5 task</w:t>
      </w:r>
      <w:r w:rsidRPr="00992195">
        <w:rPr>
          <w:u w:val="single"/>
        </w:rPr>
        <w:t>:</w:t>
      </w:r>
      <w:r w:rsidR="001F7977" w:rsidRPr="00992195">
        <w:rPr>
          <w:u w:val="single"/>
        </w:rPr>
        <w:t xml:space="preserve"> TSA2.6 ‘Federated Clouds Task Force’</w:t>
      </w:r>
      <w:r w:rsidRPr="00992195">
        <w:rPr>
          <w:u w:val="single"/>
        </w:rPr>
        <w:t>:</w:t>
      </w:r>
    </w:p>
    <w:p w:rsidR="001F7977" w:rsidRDefault="00883AF9" w:rsidP="00B80F27">
      <w:pPr>
        <w:pStyle w:val="ListParagraph"/>
      </w:pPr>
      <w:r>
        <w:t>This task has</w:t>
      </w:r>
      <w:r w:rsidR="009B0EC1">
        <w:t xml:space="preserve"> been created to answer the </w:t>
      </w:r>
      <w:r>
        <w:t>reviewers’</w:t>
      </w:r>
      <w:r w:rsidR="009B0EC1">
        <w:t xml:space="preserve"> comments. It is rated</w:t>
      </w:r>
      <w:r w:rsidR="001F7977">
        <w:t xml:space="preserve"> at 33%</w:t>
      </w:r>
      <w:r w:rsidR="009B0EC1">
        <w:t xml:space="preserve"> funding</w:t>
      </w:r>
      <w:r w:rsidR="001F7977">
        <w:t>.</w:t>
      </w:r>
    </w:p>
    <w:p w:rsidR="001F7977" w:rsidRDefault="003D2189" w:rsidP="00B80F27">
      <w:pPr>
        <w:pStyle w:val="ListParagraph"/>
      </w:pPr>
      <w:r>
        <w:t>Each partners has agreed to shift efforts from others tasks such as NA2, SA1, SA2 and SA3 tasks.</w:t>
      </w:r>
    </w:p>
    <w:p w:rsidR="001F7977" w:rsidRDefault="00883AF9" w:rsidP="00B80F27">
      <w:pPr>
        <w:pStyle w:val="ListParagraph"/>
      </w:pPr>
      <w:r>
        <w:t>Again</w:t>
      </w:r>
      <w:r w:rsidR="00992195">
        <w:t xml:space="preserve"> i</w:t>
      </w:r>
      <w:r w:rsidR="001F7977">
        <w:t>f this new task is not available in your TS, please contact us and we will open the Task for you.</w:t>
      </w:r>
    </w:p>
    <w:p w:rsidR="001F7977" w:rsidRDefault="001F7977" w:rsidP="00B80F27">
      <w:pPr>
        <w:pStyle w:val="ListParagraph"/>
      </w:pPr>
    </w:p>
    <w:p w:rsidR="001F7977" w:rsidRDefault="004A5B4A" w:rsidP="00B80F27">
      <w:pPr>
        <w:pStyle w:val="ListParagraph"/>
        <w:rPr>
          <w:b/>
          <w:color w:val="31849B" w:themeColor="accent5" w:themeShade="BF"/>
        </w:rPr>
      </w:pPr>
      <w:r w:rsidRPr="004A5B4A">
        <w:rPr>
          <w:b/>
          <w:color w:val="31849B" w:themeColor="accent5" w:themeShade="BF"/>
        </w:rPr>
        <w:t>PPT and Quarterly Reports</w:t>
      </w:r>
      <w:r w:rsidR="001F7977" w:rsidRPr="004A5B4A">
        <w:rPr>
          <w:b/>
          <w:color w:val="31849B" w:themeColor="accent5" w:themeShade="BF"/>
        </w:rPr>
        <w:t xml:space="preserve"> </w:t>
      </w:r>
    </w:p>
    <w:p w:rsidR="009213AD" w:rsidRPr="009213AD" w:rsidRDefault="009213AD" w:rsidP="00B80F27">
      <w:pPr>
        <w:pStyle w:val="ListParagraph"/>
        <w:rPr>
          <w:u w:val="single"/>
        </w:rPr>
      </w:pPr>
      <w:r w:rsidRPr="009213AD">
        <w:rPr>
          <w:u w:val="single"/>
        </w:rPr>
        <w:t>Production of quarterly reports:</w:t>
      </w:r>
    </w:p>
    <w:p w:rsidR="00A01310" w:rsidRDefault="00A01310" w:rsidP="00B80F27">
      <w:pPr>
        <w:pStyle w:val="ListParagraph"/>
      </w:pPr>
      <w:r>
        <w:t xml:space="preserve">Several delays in the delivery of accurate Quarterly report based on </w:t>
      </w:r>
      <w:r w:rsidR="001C2E3D">
        <w:t xml:space="preserve">PPT effort </w:t>
      </w:r>
      <w:r w:rsidR="00CF0B06">
        <w:t>declarations</w:t>
      </w:r>
      <w:r>
        <w:t xml:space="preserve"> have raised concerns within the PMB. Too often partners asked for changes </w:t>
      </w:r>
      <w:r w:rsidR="00CF0B06">
        <w:t xml:space="preserve">up to </w:t>
      </w:r>
      <w:r>
        <w:t>2 months after the closure of the quarterly report. This also leads to discrepancy between the effort</w:t>
      </w:r>
      <w:r w:rsidR="00CF0B06">
        <w:t>s</w:t>
      </w:r>
      <w:r>
        <w:t xml:space="preserve"> and costs report attached to the quarterly technical report against the figures reported in the advance report submitted to the Commission separately (Co) </w:t>
      </w:r>
      <w:r w:rsidR="00CF0B06">
        <w:t xml:space="preserve">and </w:t>
      </w:r>
      <w:r>
        <w:t>for release of payment to the partners.</w:t>
      </w:r>
      <w:r w:rsidR="00CF0B06">
        <w:t xml:space="preserve"> Indeed the project office has been flexible to prepare the payment reports once all partners had been allowed to make changes.</w:t>
      </w:r>
    </w:p>
    <w:p w:rsidR="00A01310" w:rsidRDefault="00A01310" w:rsidP="00B80F27">
      <w:pPr>
        <w:pStyle w:val="ListParagraph"/>
      </w:pPr>
    </w:p>
    <w:p w:rsidR="00CF0B06" w:rsidRDefault="00CF0B06" w:rsidP="00B80F27">
      <w:pPr>
        <w:pStyle w:val="ListParagraph"/>
      </w:pPr>
      <w:r>
        <w:t xml:space="preserve">Due to this recurrent situation, and in accordance with the provision of the CA, the </w:t>
      </w:r>
      <w:r>
        <w:t xml:space="preserve">deadlines to produce the QR from PPT </w:t>
      </w:r>
      <w:r>
        <w:t>will be organised as follows:</w:t>
      </w:r>
    </w:p>
    <w:p w:rsidR="00CF0B06" w:rsidRDefault="00CF0B06" w:rsidP="00CF0B06">
      <w:pPr>
        <w:pStyle w:val="ListParagraph"/>
        <w:numPr>
          <w:ilvl w:val="0"/>
          <w:numId w:val="4"/>
        </w:numPr>
      </w:pPr>
      <w:r>
        <w:t>Quarter+18d: draft of QR and files saved on Wiki for the activity management board review;</w:t>
      </w:r>
    </w:p>
    <w:p w:rsidR="00CF0B06" w:rsidRDefault="00CF0B06" w:rsidP="00CF0B06">
      <w:pPr>
        <w:pStyle w:val="ListParagraph"/>
        <w:numPr>
          <w:ilvl w:val="0"/>
          <w:numId w:val="4"/>
        </w:numPr>
      </w:pPr>
      <w:r>
        <w:t>Quarter+25d: issue final QR.</w:t>
      </w:r>
      <w:r>
        <w:br/>
        <w:t>(Only 7 calendar days which may only be 3-4 days)</w:t>
      </w:r>
    </w:p>
    <w:p w:rsidR="00CF0B06" w:rsidRDefault="00CF0B06" w:rsidP="00CF0B06">
      <w:pPr>
        <w:pStyle w:val="ListParagraph"/>
      </w:pPr>
    </w:p>
    <w:p w:rsidR="00CF0B06" w:rsidRDefault="00CF0B06" w:rsidP="00CF0B06">
      <w:pPr>
        <w:pStyle w:val="ListParagraph"/>
      </w:pPr>
      <w:r>
        <w:t xml:space="preserve">Deadlines </w:t>
      </w:r>
      <w:r>
        <w:t>are very tight</w:t>
      </w:r>
      <w:r>
        <w:t xml:space="preserve"> (</w:t>
      </w:r>
      <w:r>
        <w:t xml:space="preserve">three </w:t>
      </w:r>
      <w:r>
        <w:t>days) and t</w:t>
      </w:r>
      <w:r>
        <w:t>imesheet will not be reopened</w:t>
      </w:r>
      <w:r>
        <w:t xml:space="preserve"> after this date. This does not change the monthly deadlines applicable: </w:t>
      </w:r>
    </w:p>
    <w:p w:rsidR="00A01310" w:rsidRDefault="00A01310" w:rsidP="00A01310">
      <w:pPr>
        <w:pStyle w:val="ListParagraph"/>
        <w:numPr>
          <w:ilvl w:val="0"/>
          <w:numId w:val="3"/>
        </w:numPr>
      </w:pPr>
      <w:r>
        <w:t>TS ar</w:t>
      </w:r>
      <w:r w:rsidR="00CF0B06">
        <w:t>e closed at M+10d;</w:t>
      </w:r>
    </w:p>
    <w:p w:rsidR="00A01310" w:rsidRDefault="00A01310" w:rsidP="00A01310">
      <w:pPr>
        <w:pStyle w:val="ListParagraph"/>
        <w:numPr>
          <w:ilvl w:val="0"/>
          <w:numId w:val="3"/>
        </w:numPr>
      </w:pPr>
      <w:r>
        <w:t>access for the supervisor to validate TS</w:t>
      </w:r>
      <w:r w:rsidR="00CF0B06">
        <w:t xml:space="preserve"> is closed at M+15d</w:t>
      </w:r>
    </w:p>
    <w:p w:rsidR="00031224" w:rsidRDefault="00031224" w:rsidP="00B80F27">
      <w:pPr>
        <w:pStyle w:val="ListParagraph"/>
      </w:pPr>
    </w:p>
    <w:p w:rsidR="00031224" w:rsidRPr="009213AD" w:rsidRDefault="009213AD" w:rsidP="00B80F27">
      <w:pPr>
        <w:pStyle w:val="ListParagraph"/>
        <w:rPr>
          <w:b/>
        </w:rPr>
      </w:pPr>
      <w:r w:rsidRPr="009213AD">
        <w:rPr>
          <w:b/>
        </w:rPr>
        <w:t>However and i</w:t>
      </w:r>
      <w:r w:rsidR="00031224" w:rsidRPr="009213AD">
        <w:rPr>
          <w:b/>
        </w:rPr>
        <w:t>f there is a need to open the TS in a closed Quarter due to a new/closed task, please let us know because this a exception to the rule above.</w:t>
      </w:r>
    </w:p>
    <w:p w:rsidR="00031224" w:rsidRDefault="00031224" w:rsidP="00B80F27">
      <w:pPr>
        <w:pStyle w:val="ListParagraph"/>
      </w:pPr>
    </w:p>
    <w:p w:rsidR="009213AD" w:rsidRDefault="009213AD" w:rsidP="00B80F27">
      <w:pPr>
        <w:pStyle w:val="ListParagraph"/>
      </w:pPr>
    </w:p>
    <w:p w:rsidR="00031224" w:rsidRPr="009213AD" w:rsidRDefault="00031224" w:rsidP="00B80F27">
      <w:pPr>
        <w:pStyle w:val="ListParagraph"/>
        <w:rPr>
          <w:u w:val="single"/>
        </w:rPr>
      </w:pPr>
      <w:r w:rsidRPr="009213AD">
        <w:rPr>
          <w:u w:val="single"/>
        </w:rPr>
        <w:lastRenderedPageBreak/>
        <w:t>PPT V2</w:t>
      </w:r>
    </w:p>
    <w:p w:rsidR="009213AD" w:rsidRDefault="009213AD" w:rsidP="00031224">
      <w:pPr>
        <w:pStyle w:val="ListParagraph"/>
      </w:pPr>
      <w:r>
        <w:t>A new PPT system, more user-friendly, has been developed at CERN. This system now</w:t>
      </w:r>
      <w:r w:rsidRPr="009213AD">
        <w:t xml:space="preserve"> enables CERN to manage all projects on a single server. The (new) version 2 has been implemented for projects coordinated by CERN (~max 300 members). This, however, has raised issues currently being corrected. EGI-InSPIRE is a bigger project with ~700 members. Therefore it was decided that any corrections and enhancement of the system should be handled before it is migrated.</w:t>
      </w:r>
      <w:r>
        <w:t xml:space="preserve"> Migration of </w:t>
      </w:r>
      <w:r w:rsidRPr="009213AD">
        <w:t>EGI-InSPIRE</w:t>
      </w:r>
      <w:r>
        <w:t xml:space="preserve"> project is therefore postponed until December 1</w:t>
      </w:r>
      <w:r w:rsidRPr="009213AD">
        <w:rPr>
          <w:vertAlign w:val="superscript"/>
        </w:rPr>
        <w:t>st</w:t>
      </w:r>
      <w:r>
        <w:t xml:space="preserve"> and </w:t>
      </w:r>
      <w:r w:rsidR="000F7E2A">
        <w:t>further update on risk and impact and test to be carried out by the project office, likely in November.</w:t>
      </w:r>
    </w:p>
    <w:p w:rsidR="009213AD" w:rsidRDefault="009213AD" w:rsidP="00031224">
      <w:pPr>
        <w:pStyle w:val="ListParagraph"/>
      </w:pPr>
    </w:p>
    <w:p w:rsidR="00031224" w:rsidRDefault="00031224" w:rsidP="00B80F27">
      <w:pPr>
        <w:pStyle w:val="ListParagraph"/>
        <w:rPr>
          <w:b/>
          <w:color w:val="31849B" w:themeColor="accent5" w:themeShade="BF"/>
        </w:rPr>
      </w:pPr>
      <w:r w:rsidRPr="00031224">
        <w:rPr>
          <w:b/>
          <w:color w:val="31849B" w:themeColor="accent5" w:themeShade="BF"/>
        </w:rPr>
        <w:t>Q and A</w:t>
      </w:r>
    </w:p>
    <w:p w:rsidR="00021213" w:rsidRDefault="000F7E2A" w:rsidP="00B80F27">
      <w:pPr>
        <w:pStyle w:val="ListParagraph"/>
      </w:pPr>
      <w:r>
        <w:t>none</w:t>
      </w:r>
      <w:bookmarkStart w:id="2" w:name="_GoBack"/>
      <w:bookmarkEnd w:id="2"/>
      <w:r w:rsidR="00021213">
        <w:t xml:space="preserve">. </w:t>
      </w:r>
    </w:p>
    <w:p w:rsidR="00021213" w:rsidRDefault="00021213" w:rsidP="00B80F27">
      <w:pPr>
        <w:pStyle w:val="ListParagraph"/>
      </w:pPr>
      <w:r>
        <w:t>If there are questions/remarks/improvements, for instance about the For C document, please don’t hesitate to contact us.</w:t>
      </w:r>
    </w:p>
    <w:p w:rsidR="00021213" w:rsidRDefault="00021213" w:rsidP="00B80F27">
      <w:pPr>
        <w:pStyle w:val="ListParagraph"/>
      </w:pPr>
    </w:p>
    <w:p w:rsidR="00021213" w:rsidRPr="00021213" w:rsidRDefault="00021213" w:rsidP="00B80F27">
      <w:pPr>
        <w:pStyle w:val="ListParagraph"/>
      </w:pPr>
    </w:p>
    <w:p w:rsidR="00031224" w:rsidRDefault="00031224" w:rsidP="00B80F27">
      <w:pPr>
        <w:pStyle w:val="ListParagraph"/>
        <w:rPr>
          <w:b/>
          <w:color w:val="31849B" w:themeColor="accent5" w:themeShade="BF"/>
        </w:rPr>
      </w:pPr>
    </w:p>
    <w:p w:rsidR="00031224" w:rsidRPr="00031224" w:rsidRDefault="00031224" w:rsidP="00B80F27">
      <w:pPr>
        <w:pStyle w:val="ListParagraph"/>
      </w:pPr>
    </w:p>
    <w:p w:rsidR="004A5B4A" w:rsidRPr="004A5B4A" w:rsidRDefault="004A5B4A" w:rsidP="00B80F27">
      <w:pPr>
        <w:pStyle w:val="ListParagraph"/>
      </w:pPr>
      <w:r>
        <w:t xml:space="preserve"> </w:t>
      </w:r>
    </w:p>
    <w:p w:rsidR="001F7977" w:rsidRPr="00B80F27" w:rsidRDefault="001F7977" w:rsidP="00B80F27">
      <w:pPr>
        <w:pStyle w:val="ListParagraph"/>
      </w:pPr>
    </w:p>
    <w:p w:rsidR="00B80F27" w:rsidRPr="00B80F27" w:rsidRDefault="00B80F27" w:rsidP="00B80F27">
      <w:pPr>
        <w:pStyle w:val="ListParagraph"/>
        <w:rPr>
          <w:b/>
          <w:color w:val="31849B" w:themeColor="accent5" w:themeShade="BF"/>
        </w:rPr>
      </w:pPr>
      <w:r>
        <w:t xml:space="preserve"> </w:t>
      </w:r>
      <w:r w:rsidRPr="00B80F27">
        <w:rPr>
          <w:b/>
          <w:color w:val="31849B" w:themeColor="accent5" w:themeShade="BF"/>
        </w:rPr>
        <w:br/>
      </w:r>
    </w:p>
    <w:sectPr w:rsidR="00B80F27" w:rsidRPr="00B80F27" w:rsidSect="003E5F6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bitoune" w:date="2012-09-21T12:36:00Z" w:initials="c">
    <w:p w:rsidR="00E619A2" w:rsidRDefault="00E619A2">
      <w:pPr>
        <w:pStyle w:val="CommentText"/>
      </w:pPr>
      <w:r>
        <w:rPr>
          <w:rStyle w:val="CommentReference"/>
        </w:rPr>
        <w:annotationRef/>
      </w:r>
      <w:r>
        <w:t xml:space="preserve">Of </w:t>
      </w:r>
      <w:r w:rsidR="009A7DB2">
        <w:t>which 3</w:t>
      </w:r>
      <w:r>
        <w:t>00k has been reserved to the central budget for (external partners</w:t>
      </w:r>
      <w:r w:rsidR="00FA3614">
        <w:t>, support events</w:t>
      </w:r>
      <w:r>
        <w:t>, dissemination and</w:t>
      </w:r>
      <w:r w:rsidR="009A7DB2">
        <w:t xml:space="preserve"> PPT system)</w:t>
      </w:r>
      <w:r>
        <w:t xml:space="preserve"> </w:t>
      </w:r>
    </w:p>
  </w:comment>
  <w:comment w:id="1" w:author="cbitoune" w:date="2012-09-21T12:35:00Z" w:initials="c">
    <w:p w:rsidR="00AF748C" w:rsidRDefault="00AF748C">
      <w:pPr>
        <w:pStyle w:val="CommentText"/>
      </w:pPr>
      <w:r>
        <w:rPr>
          <w:rStyle w:val="CommentReference"/>
        </w:rPr>
        <w:annotationRef/>
      </w:r>
      <w:r>
        <w:t>Adjustments will include the raise of EGI.eu Global tasks % which retroactively applied for PY1 and PY2</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3E10"/>
    <w:multiLevelType w:val="hybridMultilevel"/>
    <w:tmpl w:val="71043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9043117"/>
    <w:multiLevelType w:val="hybridMultilevel"/>
    <w:tmpl w:val="5410607E"/>
    <w:lvl w:ilvl="0" w:tplc="E18685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8C02386"/>
    <w:multiLevelType w:val="hybridMultilevel"/>
    <w:tmpl w:val="2B7A46A6"/>
    <w:lvl w:ilvl="0" w:tplc="E18685D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AD51BEC"/>
    <w:multiLevelType w:val="hybridMultilevel"/>
    <w:tmpl w:val="2390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47"/>
    <w:rsid w:val="00021213"/>
    <w:rsid w:val="00031224"/>
    <w:rsid w:val="0003379D"/>
    <w:rsid w:val="000A693C"/>
    <w:rsid w:val="000F22B7"/>
    <w:rsid w:val="000F7E2A"/>
    <w:rsid w:val="001C2E3D"/>
    <w:rsid w:val="001F7977"/>
    <w:rsid w:val="003A613D"/>
    <w:rsid w:val="003B4881"/>
    <w:rsid w:val="003B5918"/>
    <w:rsid w:val="003D2189"/>
    <w:rsid w:val="003E5F60"/>
    <w:rsid w:val="00487797"/>
    <w:rsid w:val="004A5B4A"/>
    <w:rsid w:val="004D037C"/>
    <w:rsid w:val="00746FD9"/>
    <w:rsid w:val="00826F1C"/>
    <w:rsid w:val="00883AF9"/>
    <w:rsid w:val="00897847"/>
    <w:rsid w:val="009213AD"/>
    <w:rsid w:val="009259C6"/>
    <w:rsid w:val="00992195"/>
    <w:rsid w:val="009A7DB2"/>
    <w:rsid w:val="009B0EC1"/>
    <w:rsid w:val="00A01310"/>
    <w:rsid w:val="00A77B1B"/>
    <w:rsid w:val="00AF748C"/>
    <w:rsid w:val="00B80F27"/>
    <w:rsid w:val="00C40BA5"/>
    <w:rsid w:val="00C65C8A"/>
    <w:rsid w:val="00CB1D9F"/>
    <w:rsid w:val="00CF0B06"/>
    <w:rsid w:val="00DE0AEE"/>
    <w:rsid w:val="00E619A2"/>
    <w:rsid w:val="00EC20CB"/>
    <w:rsid w:val="00FA3614"/>
    <w:rsid w:val="00FE5B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60"/>
  </w:style>
  <w:style w:type="paragraph" w:styleId="Heading1">
    <w:name w:val="heading 1"/>
    <w:basedOn w:val="Normal"/>
    <w:next w:val="Normal"/>
    <w:link w:val="Heading1Char"/>
    <w:uiPriority w:val="9"/>
    <w:qFormat/>
    <w:rsid w:val="000A6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0A693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Heading1Char">
    <w:name w:val="Heading 1 Char"/>
    <w:basedOn w:val="DefaultParagraphFont"/>
    <w:link w:val="Heading1"/>
    <w:uiPriority w:val="9"/>
    <w:rsid w:val="000A693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0F27"/>
    <w:pPr>
      <w:ind w:left="720"/>
      <w:contextualSpacing/>
    </w:pPr>
  </w:style>
  <w:style w:type="character" w:styleId="CommentReference">
    <w:name w:val="annotation reference"/>
    <w:basedOn w:val="DefaultParagraphFont"/>
    <w:uiPriority w:val="99"/>
    <w:semiHidden/>
    <w:unhideWhenUsed/>
    <w:rsid w:val="00E619A2"/>
    <w:rPr>
      <w:sz w:val="16"/>
      <w:szCs w:val="16"/>
    </w:rPr>
  </w:style>
  <w:style w:type="paragraph" w:styleId="CommentText">
    <w:name w:val="annotation text"/>
    <w:basedOn w:val="Normal"/>
    <w:link w:val="CommentTextChar"/>
    <w:uiPriority w:val="99"/>
    <w:semiHidden/>
    <w:unhideWhenUsed/>
    <w:rsid w:val="00E619A2"/>
    <w:pPr>
      <w:spacing w:line="240" w:lineRule="auto"/>
    </w:pPr>
    <w:rPr>
      <w:sz w:val="20"/>
      <w:szCs w:val="20"/>
    </w:rPr>
  </w:style>
  <w:style w:type="character" w:customStyle="1" w:styleId="CommentTextChar">
    <w:name w:val="Comment Text Char"/>
    <w:basedOn w:val="DefaultParagraphFont"/>
    <w:link w:val="CommentText"/>
    <w:uiPriority w:val="99"/>
    <w:semiHidden/>
    <w:rsid w:val="00E619A2"/>
    <w:rPr>
      <w:sz w:val="20"/>
      <w:szCs w:val="20"/>
    </w:rPr>
  </w:style>
  <w:style w:type="paragraph" w:styleId="CommentSubject">
    <w:name w:val="annotation subject"/>
    <w:basedOn w:val="CommentText"/>
    <w:next w:val="CommentText"/>
    <w:link w:val="CommentSubjectChar"/>
    <w:uiPriority w:val="99"/>
    <w:semiHidden/>
    <w:unhideWhenUsed/>
    <w:rsid w:val="00E619A2"/>
    <w:rPr>
      <w:b/>
      <w:bCs/>
    </w:rPr>
  </w:style>
  <w:style w:type="character" w:customStyle="1" w:styleId="CommentSubjectChar">
    <w:name w:val="Comment Subject Char"/>
    <w:basedOn w:val="CommentTextChar"/>
    <w:link w:val="CommentSubject"/>
    <w:uiPriority w:val="99"/>
    <w:semiHidden/>
    <w:rsid w:val="00E619A2"/>
    <w:rPr>
      <w:b/>
      <w:bCs/>
      <w:sz w:val="20"/>
      <w:szCs w:val="20"/>
    </w:rPr>
  </w:style>
  <w:style w:type="paragraph" w:styleId="BalloonText">
    <w:name w:val="Balloon Text"/>
    <w:basedOn w:val="Normal"/>
    <w:link w:val="BalloonTextChar"/>
    <w:uiPriority w:val="99"/>
    <w:semiHidden/>
    <w:unhideWhenUsed/>
    <w:rsid w:val="00E6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60"/>
  </w:style>
  <w:style w:type="paragraph" w:styleId="Heading1">
    <w:name w:val="heading 1"/>
    <w:basedOn w:val="Normal"/>
    <w:next w:val="Normal"/>
    <w:link w:val="Heading1Char"/>
    <w:uiPriority w:val="9"/>
    <w:qFormat/>
    <w:rsid w:val="000A6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0A693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Heading1Char">
    <w:name w:val="Heading 1 Char"/>
    <w:basedOn w:val="DefaultParagraphFont"/>
    <w:link w:val="Heading1"/>
    <w:uiPriority w:val="9"/>
    <w:rsid w:val="000A693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0F27"/>
    <w:pPr>
      <w:ind w:left="720"/>
      <w:contextualSpacing/>
    </w:pPr>
  </w:style>
  <w:style w:type="character" w:styleId="CommentReference">
    <w:name w:val="annotation reference"/>
    <w:basedOn w:val="DefaultParagraphFont"/>
    <w:uiPriority w:val="99"/>
    <w:semiHidden/>
    <w:unhideWhenUsed/>
    <w:rsid w:val="00E619A2"/>
    <w:rPr>
      <w:sz w:val="16"/>
      <w:szCs w:val="16"/>
    </w:rPr>
  </w:style>
  <w:style w:type="paragraph" w:styleId="CommentText">
    <w:name w:val="annotation text"/>
    <w:basedOn w:val="Normal"/>
    <w:link w:val="CommentTextChar"/>
    <w:uiPriority w:val="99"/>
    <w:semiHidden/>
    <w:unhideWhenUsed/>
    <w:rsid w:val="00E619A2"/>
    <w:pPr>
      <w:spacing w:line="240" w:lineRule="auto"/>
    </w:pPr>
    <w:rPr>
      <w:sz w:val="20"/>
      <w:szCs w:val="20"/>
    </w:rPr>
  </w:style>
  <w:style w:type="character" w:customStyle="1" w:styleId="CommentTextChar">
    <w:name w:val="Comment Text Char"/>
    <w:basedOn w:val="DefaultParagraphFont"/>
    <w:link w:val="CommentText"/>
    <w:uiPriority w:val="99"/>
    <w:semiHidden/>
    <w:rsid w:val="00E619A2"/>
    <w:rPr>
      <w:sz w:val="20"/>
      <w:szCs w:val="20"/>
    </w:rPr>
  </w:style>
  <w:style w:type="paragraph" w:styleId="CommentSubject">
    <w:name w:val="annotation subject"/>
    <w:basedOn w:val="CommentText"/>
    <w:next w:val="CommentText"/>
    <w:link w:val="CommentSubjectChar"/>
    <w:uiPriority w:val="99"/>
    <w:semiHidden/>
    <w:unhideWhenUsed/>
    <w:rsid w:val="00E619A2"/>
    <w:rPr>
      <w:b/>
      <w:bCs/>
    </w:rPr>
  </w:style>
  <w:style w:type="character" w:customStyle="1" w:styleId="CommentSubjectChar">
    <w:name w:val="Comment Subject Char"/>
    <w:basedOn w:val="CommentTextChar"/>
    <w:link w:val="CommentSubject"/>
    <w:uiPriority w:val="99"/>
    <w:semiHidden/>
    <w:rsid w:val="00E619A2"/>
    <w:rPr>
      <w:b/>
      <w:bCs/>
      <w:sz w:val="20"/>
      <w:szCs w:val="20"/>
    </w:rPr>
  </w:style>
  <w:style w:type="paragraph" w:styleId="BalloonText">
    <w:name w:val="Balloon Text"/>
    <w:basedOn w:val="Normal"/>
    <w:link w:val="BalloonTextChar"/>
    <w:uiPriority w:val="99"/>
    <w:semiHidden/>
    <w:unhideWhenUsed/>
    <w:rsid w:val="00E6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Devereux</dc:creator>
  <cp:lastModifiedBy>cbitoune</cp:lastModifiedBy>
  <cp:revision>23</cp:revision>
  <dcterms:created xsi:type="dcterms:W3CDTF">2012-09-21T09:43:00Z</dcterms:created>
  <dcterms:modified xsi:type="dcterms:W3CDTF">2012-09-21T12:15:00Z</dcterms:modified>
</cp:coreProperties>
</file>