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AC5" w:rsidRPr="005905CB" w:rsidRDefault="00B15002" w:rsidP="005905CB">
      <w:pPr>
        <w:pStyle w:val="Title"/>
        <w:spacing w:after="0"/>
        <w:rPr>
          <w:sz w:val="36"/>
          <w:szCs w:val="36"/>
          <w:lang w:val="en-US"/>
        </w:rPr>
      </w:pPr>
      <w:bookmarkStart w:id="0" w:name="_GoBack"/>
      <w:bookmarkEnd w:id="0"/>
      <w:r w:rsidRPr="005905CB">
        <w:rPr>
          <w:sz w:val="36"/>
          <w:szCs w:val="36"/>
          <w:lang w:val="en-US"/>
        </w:rPr>
        <w:t>Collaborative Use Example</w:t>
      </w:r>
      <w:r w:rsidR="00607F42" w:rsidRPr="005905CB">
        <w:rPr>
          <w:sz w:val="36"/>
          <w:szCs w:val="36"/>
          <w:lang w:val="en-US"/>
        </w:rPr>
        <w:t xml:space="preserve">: WeNMR/SBGrid </w:t>
      </w:r>
    </w:p>
    <w:p w:rsidR="00B15002" w:rsidRPr="00AC44A4" w:rsidRDefault="00607F42" w:rsidP="00FF7495">
      <w:pPr>
        <w:pStyle w:val="Heading1"/>
        <w:spacing w:before="120" w:after="60"/>
        <w:rPr>
          <w:lang w:val="en-US"/>
        </w:rPr>
      </w:pPr>
      <w:r w:rsidRPr="00AC44A4">
        <w:rPr>
          <w:lang w:val="en-US"/>
        </w:rPr>
        <w:t>C</w:t>
      </w:r>
      <w:r w:rsidR="00B15002" w:rsidRPr="00AC44A4">
        <w:rPr>
          <w:lang w:val="en-US"/>
        </w:rPr>
        <w:t>ollabora</w:t>
      </w:r>
      <w:r w:rsidR="00FF7495">
        <w:rPr>
          <w:lang w:val="en-US"/>
        </w:rPr>
        <w:t>ting teams in Europe and the US</w:t>
      </w:r>
    </w:p>
    <w:p w:rsidR="00442840" w:rsidRPr="00AC44A4" w:rsidRDefault="00442840" w:rsidP="005C55C4">
      <w:pPr>
        <w:spacing w:after="60"/>
        <w:jc w:val="both"/>
        <w:rPr>
          <w:bCs/>
          <w:szCs w:val="20"/>
          <w:lang w:val="en-US"/>
        </w:rPr>
      </w:pPr>
      <w:r w:rsidRPr="00B87B03">
        <w:rPr>
          <w:b/>
          <w:bCs/>
          <w:color w:val="1F497D"/>
          <w:szCs w:val="20"/>
          <w:lang w:val="en-US"/>
        </w:rPr>
        <w:t>WeNMR</w:t>
      </w:r>
      <w:r w:rsidRPr="00AC44A4">
        <w:rPr>
          <w:b/>
          <w:bCs/>
          <w:szCs w:val="20"/>
          <w:lang w:val="en-US"/>
        </w:rPr>
        <w:t> </w:t>
      </w:r>
      <w:r w:rsidRPr="00AC44A4">
        <w:rPr>
          <w:bCs/>
          <w:szCs w:val="20"/>
          <w:lang w:val="en-US"/>
        </w:rPr>
        <w:t>(</w:t>
      </w:r>
      <w:r w:rsidRPr="0036326F">
        <w:rPr>
          <w:bCs/>
          <w:szCs w:val="20"/>
          <w:u w:val="single"/>
          <w:lang w:val="en-US"/>
        </w:rPr>
        <w:t>www.wenmr.eu</w:t>
      </w:r>
      <w:r w:rsidRPr="00AC44A4">
        <w:rPr>
          <w:bCs/>
          <w:szCs w:val="20"/>
          <w:lang w:val="en-US"/>
        </w:rPr>
        <w:t>) is both a three years project funded under the European Commission’s 7th Framework Programme (e-Infrastructure RI-261571) and a Virtual Research Community supported by </w:t>
      </w:r>
      <w:hyperlink r:id="rId6" w:history="1">
        <w:r w:rsidRPr="00AC44A4">
          <w:rPr>
            <w:rStyle w:val="Hyperlink"/>
            <w:bCs/>
            <w:szCs w:val="20"/>
            <w:lang w:val="en-US"/>
          </w:rPr>
          <w:t>EGI</w:t>
        </w:r>
      </w:hyperlink>
      <w:r w:rsidRPr="00AC44A4">
        <w:rPr>
          <w:bCs/>
          <w:szCs w:val="20"/>
          <w:lang w:val="en-US"/>
        </w:rPr>
        <w:t>, the largest one within the life science</w:t>
      </w:r>
      <w:r w:rsidR="0095290C">
        <w:rPr>
          <w:bCs/>
          <w:szCs w:val="20"/>
          <w:lang w:val="en-US"/>
        </w:rPr>
        <w:t>s,</w:t>
      </w:r>
      <w:r w:rsidR="00E40E25">
        <w:rPr>
          <w:bCs/>
          <w:szCs w:val="20"/>
          <w:lang w:val="en-US"/>
        </w:rPr>
        <w:t xml:space="preserve"> with over 500 VO members</w:t>
      </w:r>
      <w:r w:rsidRPr="00AC44A4">
        <w:rPr>
          <w:bCs/>
          <w:szCs w:val="20"/>
          <w:lang w:val="en-US"/>
        </w:rPr>
        <w:t xml:space="preserve">. WeNMR aims </w:t>
      </w:r>
      <w:r w:rsidR="004D002D">
        <w:rPr>
          <w:bCs/>
          <w:szCs w:val="20"/>
          <w:lang w:val="en-US"/>
        </w:rPr>
        <w:t xml:space="preserve">to bring </w:t>
      </w:r>
      <w:r w:rsidRPr="00AC44A4">
        <w:rPr>
          <w:bCs/>
          <w:szCs w:val="20"/>
          <w:lang w:val="en-US"/>
        </w:rPr>
        <w:t>together complementary research teams in the structural biology and life science</w:t>
      </w:r>
      <w:r w:rsidR="004D002D">
        <w:rPr>
          <w:bCs/>
          <w:szCs w:val="20"/>
          <w:lang w:val="en-US"/>
        </w:rPr>
        <w:t>s arenas</w:t>
      </w:r>
      <w:r w:rsidRPr="00AC44A4">
        <w:rPr>
          <w:bCs/>
          <w:szCs w:val="20"/>
          <w:lang w:val="en-US"/>
        </w:rPr>
        <w:t xml:space="preserve"> </w:t>
      </w:r>
      <w:r w:rsidR="004D002D">
        <w:rPr>
          <w:bCs/>
          <w:szCs w:val="20"/>
          <w:lang w:val="en-US"/>
        </w:rPr>
        <w:t>to form a worldwide</w:t>
      </w:r>
      <w:r w:rsidRPr="00AC44A4">
        <w:rPr>
          <w:bCs/>
          <w:szCs w:val="20"/>
          <w:lang w:val="en-US"/>
        </w:rPr>
        <w:t xml:space="preserve"> virtual research community and provide them with a platform integrating and streamlining the computational approaches necessary for NMR and SAXS data analysis and structural modelling.</w:t>
      </w:r>
    </w:p>
    <w:p w:rsidR="003D15EC" w:rsidRPr="00AC44A4" w:rsidRDefault="003D15EC" w:rsidP="005C55C4">
      <w:pPr>
        <w:spacing w:after="60"/>
        <w:jc w:val="both"/>
        <w:rPr>
          <w:lang w:val="en-US"/>
        </w:rPr>
      </w:pPr>
      <w:r w:rsidRPr="00B87B03">
        <w:rPr>
          <w:b/>
          <w:color w:val="1F497D"/>
          <w:lang w:val="en-US"/>
        </w:rPr>
        <w:t>SBGrid</w:t>
      </w:r>
      <w:r w:rsidRPr="00AC44A4">
        <w:rPr>
          <w:b/>
          <w:lang w:val="en-US"/>
        </w:rPr>
        <w:t xml:space="preserve"> </w:t>
      </w:r>
      <w:r w:rsidRPr="00AC44A4">
        <w:rPr>
          <w:lang w:val="en-US"/>
        </w:rPr>
        <w:t>(</w:t>
      </w:r>
      <w:r w:rsidRPr="00AC44A4">
        <w:rPr>
          <w:u w:val="single"/>
          <w:lang w:val="en-US"/>
        </w:rPr>
        <w:t>www.sbgrid.org</w:t>
      </w:r>
      <w:r w:rsidRPr="00AC44A4">
        <w:rPr>
          <w:lang w:val="en-US"/>
        </w:rPr>
        <w:t xml:space="preserve">) is a global </w:t>
      </w:r>
      <w:r w:rsidR="00143CCD" w:rsidRPr="00AC44A4">
        <w:rPr>
          <w:lang w:val="en-US"/>
        </w:rPr>
        <w:t>consortium</w:t>
      </w:r>
      <w:r w:rsidRPr="00AC44A4">
        <w:rPr>
          <w:lang w:val="en-US"/>
        </w:rPr>
        <w:t xml:space="preserve"> of 220 structural biology </w:t>
      </w:r>
      <w:r w:rsidR="00A33489" w:rsidRPr="00AC44A4">
        <w:rPr>
          <w:lang w:val="en-US"/>
        </w:rPr>
        <w:t>groups</w:t>
      </w:r>
      <w:r w:rsidR="00442840" w:rsidRPr="00AC44A4">
        <w:rPr>
          <w:lang w:val="en-US"/>
        </w:rPr>
        <w:t xml:space="preserve"> and an Open Science Grid Virtual Organization</w:t>
      </w:r>
      <w:r w:rsidRPr="00AC44A4">
        <w:rPr>
          <w:lang w:val="en-US"/>
        </w:rPr>
        <w:t xml:space="preserve">. </w:t>
      </w:r>
      <w:r w:rsidR="004A0F3F" w:rsidRPr="00AC44A4">
        <w:rPr>
          <w:lang w:val="en-US"/>
        </w:rPr>
        <w:t xml:space="preserve">SBGrid </w:t>
      </w:r>
      <w:r w:rsidR="006942F4" w:rsidRPr="00AC44A4">
        <w:rPr>
          <w:lang w:val="en-US"/>
        </w:rPr>
        <w:t xml:space="preserve">laboratories share </w:t>
      </w:r>
      <w:r w:rsidR="004D002D">
        <w:rPr>
          <w:lang w:val="en-US"/>
        </w:rPr>
        <w:t>a</w:t>
      </w:r>
      <w:r w:rsidR="006942F4" w:rsidRPr="00AC44A4">
        <w:rPr>
          <w:lang w:val="en-US"/>
        </w:rPr>
        <w:t xml:space="preserve"> common </w:t>
      </w:r>
      <w:r w:rsidR="004E2098" w:rsidRPr="00AC44A4">
        <w:rPr>
          <w:lang w:val="en-US"/>
        </w:rPr>
        <w:t>collection of approximately 350 scientific applications compiled and optimized for Linux and OSX operating systems.</w:t>
      </w:r>
      <w:r w:rsidR="006942F4" w:rsidRPr="00AC44A4">
        <w:rPr>
          <w:lang w:val="en-US"/>
        </w:rPr>
        <w:t xml:space="preserve"> </w:t>
      </w:r>
      <w:r w:rsidR="004E2098" w:rsidRPr="00AC44A4">
        <w:rPr>
          <w:lang w:val="en-US"/>
        </w:rPr>
        <w:t xml:space="preserve">To support </w:t>
      </w:r>
      <w:r w:rsidR="00143CCD" w:rsidRPr="00AC44A4">
        <w:rPr>
          <w:lang w:val="en-US"/>
        </w:rPr>
        <w:t xml:space="preserve">a subset of </w:t>
      </w:r>
      <w:r w:rsidR="004E2098" w:rsidRPr="00AC44A4">
        <w:rPr>
          <w:lang w:val="en-US"/>
        </w:rPr>
        <w:t>CPU-intensive workflows</w:t>
      </w:r>
      <w:r w:rsidR="004D002D">
        <w:rPr>
          <w:lang w:val="en-US"/>
        </w:rPr>
        <w:t>,</w:t>
      </w:r>
      <w:r w:rsidR="004E2098" w:rsidRPr="00AC44A4">
        <w:rPr>
          <w:lang w:val="en-US"/>
        </w:rPr>
        <w:t xml:space="preserve"> SBGrid </w:t>
      </w:r>
      <w:r w:rsidR="00143CCD" w:rsidRPr="00AC44A4">
        <w:rPr>
          <w:lang w:val="en-US"/>
        </w:rPr>
        <w:t>also runs</w:t>
      </w:r>
      <w:r w:rsidR="004E2098" w:rsidRPr="00AC44A4">
        <w:rPr>
          <w:lang w:val="en-US"/>
        </w:rPr>
        <w:t xml:space="preserve"> a scientific </w:t>
      </w:r>
      <w:r w:rsidR="00143CCD" w:rsidRPr="00AC44A4">
        <w:rPr>
          <w:lang w:val="en-US"/>
        </w:rPr>
        <w:t>portal, which</w:t>
      </w:r>
      <w:r w:rsidR="004E2098" w:rsidRPr="00AC44A4">
        <w:rPr>
          <w:lang w:val="en-US"/>
        </w:rPr>
        <w:t xml:space="preserve"> interconnects with</w:t>
      </w:r>
      <w:r w:rsidR="004D002D">
        <w:rPr>
          <w:lang w:val="en-US"/>
        </w:rPr>
        <w:t xml:space="preserve"> the</w:t>
      </w:r>
      <w:r w:rsidR="004E2098" w:rsidRPr="00AC44A4">
        <w:rPr>
          <w:lang w:val="en-US"/>
        </w:rPr>
        <w:t xml:space="preserve"> computational resources of the Open Science Grid</w:t>
      </w:r>
      <w:r w:rsidR="00143CCD" w:rsidRPr="00AC44A4">
        <w:rPr>
          <w:lang w:val="en-US"/>
        </w:rPr>
        <w:t xml:space="preserve"> (developed with support from NSF and OSG</w:t>
      </w:r>
      <w:r w:rsidR="005A567B" w:rsidRPr="00AC44A4">
        <w:rPr>
          <w:lang w:val="en-US"/>
        </w:rPr>
        <w:t xml:space="preserve"> and open to all members of the structural biology community</w:t>
      </w:r>
      <w:r w:rsidR="00143CCD" w:rsidRPr="00AC44A4">
        <w:rPr>
          <w:lang w:val="en-US"/>
        </w:rPr>
        <w:t>)</w:t>
      </w:r>
      <w:r w:rsidR="004D002D">
        <w:rPr>
          <w:lang w:val="en-US"/>
        </w:rPr>
        <w:t>.</w:t>
      </w:r>
      <w:r w:rsidR="004E2098" w:rsidRPr="00AC44A4">
        <w:rPr>
          <w:lang w:val="en-US"/>
        </w:rPr>
        <w:t xml:space="preserve"> </w:t>
      </w:r>
      <w:r w:rsidR="00143CCD" w:rsidRPr="00AC44A4">
        <w:rPr>
          <w:lang w:val="en-US"/>
        </w:rPr>
        <w:t xml:space="preserve">SBGrid </w:t>
      </w:r>
      <w:r w:rsidRPr="00AC44A4">
        <w:rPr>
          <w:lang w:val="en-US"/>
        </w:rPr>
        <w:t xml:space="preserve">operates out of the </w:t>
      </w:r>
      <w:r w:rsidR="00143CCD" w:rsidRPr="00AC44A4">
        <w:rPr>
          <w:lang w:val="en-US"/>
        </w:rPr>
        <w:t>Department</w:t>
      </w:r>
      <w:r w:rsidRPr="00AC44A4">
        <w:rPr>
          <w:lang w:val="en-US"/>
        </w:rPr>
        <w:t xml:space="preserve"> of Biological Chemistry and Molecular Pharmacology at Harvard Medical School.  </w:t>
      </w:r>
    </w:p>
    <w:p w:rsidR="005905CB" w:rsidRDefault="00B15002" w:rsidP="005C55C4">
      <w:pPr>
        <w:spacing w:after="60"/>
        <w:jc w:val="both"/>
        <w:rPr>
          <w:szCs w:val="20"/>
          <w:lang w:val="en-US"/>
        </w:rPr>
      </w:pPr>
      <w:r w:rsidRPr="00B87B03">
        <w:rPr>
          <w:b/>
          <w:color w:val="1F497D"/>
          <w:szCs w:val="20"/>
          <w:u w:val="single"/>
          <w:lang w:val="en-US"/>
        </w:rPr>
        <w:t>The collaboration</w:t>
      </w:r>
      <w:r w:rsidRPr="00AC44A4">
        <w:rPr>
          <w:szCs w:val="20"/>
          <w:lang w:val="en-US"/>
        </w:rPr>
        <w:t xml:space="preserve"> between the WeNMR project </w:t>
      </w:r>
      <w:r w:rsidR="003D15EC" w:rsidRPr="00AC44A4">
        <w:rPr>
          <w:szCs w:val="20"/>
          <w:lang w:val="en-US"/>
        </w:rPr>
        <w:t xml:space="preserve">and </w:t>
      </w:r>
      <w:r w:rsidRPr="00AC44A4">
        <w:rPr>
          <w:szCs w:val="20"/>
          <w:lang w:val="en-US"/>
        </w:rPr>
        <w:t xml:space="preserve">SBGrid dates back to the previous e-NMR project (2007-2010) and has been well </w:t>
      </w:r>
      <w:r w:rsidR="004D002D">
        <w:rPr>
          <w:szCs w:val="20"/>
          <w:lang w:val="en-US"/>
        </w:rPr>
        <w:t>established since</w:t>
      </w:r>
      <w:r w:rsidRPr="00AC44A4">
        <w:rPr>
          <w:szCs w:val="20"/>
          <w:lang w:val="en-US"/>
        </w:rPr>
        <w:t xml:space="preserve"> the start of WeNMR (2010-2013)</w:t>
      </w:r>
      <w:r w:rsidR="00D85B51" w:rsidRPr="00AC44A4">
        <w:rPr>
          <w:szCs w:val="20"/>
          <w:lang w:val="en-US"/>
        </w:rPr>
        <w:t xml:space="preserve">. </w:t>
      </w:r>
      <w:r w:rsidR="003D15EC" w:rsidRPr="00AC44A4">
        <w:rPr>
          <w:szCs w:val="20"/>
          <w:lang w:val="en-US"/>
        </w:rPr>
        <w:t xml:space="preserve">In a joint </w:t>
      </w:r>
      <w:r w:rsidRPr="00AC44A4">
        <w:rPr>
          <w:szCs w:val="20"/>
          <w:lang w:val="en-US"/>
        </w:rPr>
        <w:t>SBGrid</w:t>
      </w:r>
      <w:r w:rsidR="003D15EC" w:rsidRPr="00AC44A4">
        <w:rPr>
          <w:szCs w:val="20"/>
          <w:lang w:val="en-US"/>
        </w:rPr>
        <w:t>/OSG – WeNMR/</w:t>
      </w:r>
      <w:r w:rsidRPr="00AC44A4">
        <w:rPr>
          <w:szCs w:val="20"/>
          <w:lang w:val="en-US"/>
        </w:rPr>
        <w:t>EGI meeting held in March 2011</w:t>
      </w:r>
      <w:r w:rsidR="0095290C">
        <w:rPr>
          <w:szCs w:val="20"/>
          <w:lang w:val="en-US"/>
        </w:rPr>
        <w:t>,</w:t>
      </w:r>
      <w:r w:rsidRPr="00AC44A4">
        <w:rPr>
          <w:szCs w:val="20"/>
          <w:lang w:val="en-US"/>
        </w:rPr>
        <w:t xml:space="preserve"> </w:t>
      </w:r>
      <w:r w:rsidR="004D002D">
        <w:rPr>
          <w:szCs w:val="20"/>
          <w:lang w:val="en-US"/>
        </w:rPr>
        <w:t>we</w:t>
      </w:r>
      <w:r w:rsidRPr="00AC44A4">
        <w:rPr>
          <w:szCs w:val="20"/>
          <w:lang w:val="en-US"/>
        </w:rPr>
        <w:t xml:space="preserve"> decided to </w:t>
      </w:r>
      <w:r w:rsidR="004D002D">
        <w:rPr>
          <w:szCs w:val="20"/>
          <w:lang w:val="en-US"/>
        </w:rPr>
        <w:t>implement</w:t>
      </w:r>
      <w:r w:rsidRPr="00AC44A4">
        <w:rPr>
          <w:szCs w:val="20"/>
          <w:lang w:val="en-US"/>
        </w:rPr>
        <w:t xml:space="preserve"> interoperability between </w:t>
      </w:r>
      <w:r w:rsidR="004A0F3F" w:rsidRPr="00AC44A4">
        <w:rPr>
          <w:szCs w:val="20"/>
          <w:lang w:val="en-US"/>
        </w:rPr>
        <w:t>EGI</w:t>
      </w:r>
      <w:r w:rsidRPr="00AC44A4">
        <w:rPr>
          <w:szCs w:val="20"/>
          <w:lang w:val="en-US"/>
        </w:rPr>
        <w:t xml:space="preserve"> and </w:t>
      </w:r>
      <w:r w:rsidR="004A0F3F" w:rsidRPr="00AC44A4">
        <w:rPr>
          <w:szCs w:val="20"/>
          <w:lang w:val="en-US"/>
        </w:rPr>
        <w:t>OSG</w:t>
      </w:r>
      <w:r w:rsidRPr="00AC44A4">
        <w:rPr>
          <w:szCs w:val="20"/>
          <w:lang w:val="en-US"/>
        </w:rPr>
        <w:t xml:space="preserve"> in the domain of Structural Biology. A number of key persons </w:t>
      </w:r>
      <w:r w:rsidR="00E40E25" w:rsidRPr="00AC44A4">
        <w:rPr>
          <w:szCs w:val="20"/>
          <w:lang w:val="en-US"/>
        </w:rPr>
        <w:t>w</w:t>
      </w:r>
      <w:r w:rsidR="00E40E25">
        <w:rPr>
          <w:szCs w:val="20"/>
          <w:lang w:val="en-US"/>
        </w:rPr>
        <w:t>ere</w:t>
      </w:r>
      <w:r w:rsidR="00E40E25" w:rsidRPr="00AC44A4">
        <w:rPr>
          <w:szCs w:val="20"/>
          <w:lang w:val="en-US"/>
        </w:rPr>
        <w:t xml:space="preserve"> </w:t>
      </w:r>
      <w:r w:rsidR="004D002D">
        <w:rPr>
          <w:szCs w:val="20"/>
          <w:lang w:val="en-US"/>
        </w:rPr>
        <w:t>assigned to</w:t>
      </w:r>
      <w:r w:rsidRPr="00AC44A4">
        <w:rPr>
          <w:szCs w:val="20"/>
          <w:lang w:val="en-US"/>
        </w:rPr>
        <w:t xml:space="preserve"> each project to follow a well</w:t>
      </w:r>
      <w:r w:rsidR="00FF7495">
        <w:rPr>
          <w:szCs w:val="20"/>
          <w:lang w:val="en-US"/>
        </w:rPr>
        <w:t>-</w:t>
      </w:r>
      <w:r w:rsidRPr="00AC44A4">
        <w:rPr>
          <w:szCs w:val="20"/>
          <w:lang w:val="en-US"/>
        </w:rPr>
        <w:t>defined work plan that</w:t>
      </w:r>
      <w:r w:rsidR="00D85B51" w:rsidRPr="00AC44A4">
        <w:rPr>
          <w:szCs w:val="20"/>
          <w:lang w:val="en-US"/>
        </w:rPr>
        <w:t xml:space="preserve"> was implemented in the following months. The work </w:t>
      </w:r>
      <w:r w:rsidR="004D002D">
        <w:rPr>
          <w:szCs w:val="20"/>
          <w:lang w:val="en-US"/>
        </w:rPr>
        <w:t>was</w:t>
      </w:r>
      <w:r w:rsidR="00D85B51" w:rsidRPr="00AC44A4">
        <w:rPr>
          <w:szCs w:val="20"/>
          <w:lang w:val="en-US"/>
        </w:rPr>
        <w:t xml:space="preserve"> presented at the EGI Community Forum in March 2012, and is published in section 3.2.1 of </w:t>
      </w:r>
      <w:hyperlink r:id="rId7" w:history="1">
        <w:r w:rsidR="005905CB" w:rsidRPr="00E54397">
          <w:rPr>
            <w:rStyle w:val="Hyperlink"/>
            <w:szCs w:val="20"/>
            <w:lang w:val="en-US"/>
          </w:rPr>
          <w:t>http://pos.sissa.it/archive/conferences/162/040/EGICF12-EMITC2_040.pdf</w:t>
        </w:r>
      </w:hyperlink>
      <w:r w:rsidR="00D85B51" w:rsidRPr="00AC44A4">
        <w:rPr>
          <w:szCs w:val="20"/>
          <w:lang w:val="en-US"/>
        </w:rPr>
        <w:t>.</w:t>
      </w:r>
    </w:p>
    <w:p w:rsidR="00B15002" w:rsidRPr="00AC44A4" w:rsidRDefault="00FF7495" w:rsidP="00FF7495">
      <w:pPr>
        <w:pStyle w:val="Heading1"/>
        <w:spacing w:after="60"/>
        <w:rPr>
          <w:lang w:val="en-US"/>
        </w:rPr>
      </w:pPr>
      <w:r>
        <w:rPr>
          <w:lang w:val="en-US"/>
        </w:rPr>
        <w:t>S</w:t>
      </w:r>
      <w:r w:rsidR="00B15002" w:rsidRPr="00AC44A4">
        <w:rPr>
          <w:lang w:val="en-US"/>
        </w:rPr>
        <w:t>cientific justification</w:t>
      </w:r>
      <w:r>
        <w:rPr>
          <w:lang w:val="en-US"/>
        </w:rPr>
        <w:t xml:space="preserve"> for the collaborative activity</w:t>
      </w:r>
    </w:p>
    <w:p w:rsidR="00B440CA" w:rsidRPr="00AC44A4" w:rsidRDefault="00B440CA" w:rsidP="00E40E25">
      <w:pPr>
        <w:jc w:val="both"/>
        <w:rPr>
          <w:szCs w:val="20"/>
          <w:lang w:val="en-GB"/>
        </w:rPr>
      </w:pPr>
      <w:r w:rsidRPr="00AC44A4">
        <w:rPr>
          <w:szCs w:val="20"/>
          <w:lang w:val="en-GB"/>
        </w:rPr>
        <w:t xml:space="preserve">WeNMR and SBGrid developed two </w:t>
      </w:r>
      <w:r w:rsidR="00607F42" w:rsidRPr="00AC44A4">
        <w:rPr>
          <w:szCs w:val="20"/>
          <w:lang w:val="en-GB"/>
        </w:rPr>
        <w:t>complementary</w:t>
      </w:r>
      <w:r w:rsidRPr="00AC44A4">
        <w:rPr>
          <w:szCs w:val="20"/>
          <w:lang w:val="en-GB"/>
        </w:rPr>
        <w:t xml:space="preserve"> grid portals </w:t>
      </w:r>
      <w:r w:rsidR="00C55CE8" w:rsidRPr="00AC44A4">
        <w:rPr>
          <w:szCs w:val="20"/>
          <w:lang w:val="en-GB"/>
        </w:rPr>
        <w:t>that</w:t>
      </w:r>
      <w:r w:rsidRPr="00AC44A4">
        <w:rPr>
          <w:szCs w:val="20"/>
          <w:lang w:val="en-GB"/>
        </w:rPr>
        <w:t xml:space="preserve"> are used by structural biologists globally to perform </w:t>
      </w:r>
      <w:r w:rsidR="00607F42" w:rsidRPr="00AC44A4">
        <w:rPr>
          <w:szCs w:val="20"/>
          <w:lang w:val="en-GB"/>
        </w:rPr>
        <w:t>specialized</w:t>
      </w:r>
      <w:r w:rsidRPr="00AC44A4">
        <w:rPr>
          <w:szCs w:val="20"/>
          <w:lang w:val="en-GB"/>
        </w:rPr>
        <w:t xml:space="preserve">, compute intensive structure determination </w:t>
      </w:r>
      <w:r w:rsidR="00183365" w:rsidRPr="00AC44A4">
        <w:rPr>
          <w:szCs w:val="20"/>
          <w:lang w:val="en-GB"/>
        </w:rPr>
        <w:t xml:space="preserve">workflows. </w:t>
      </w:r>
      <w:r w:rsidR="004D002D">
        <w:rPr>
          <w:szCs w:val="20"/>
          <w:lang w:val="en-GB"/>
        </w:rPr>
        <w:t xml:space="preserve">The </w:t>
      </w:r>
      <w:r w:rsidR="00183365" w:rsidRPr="00AC44A4">
        <w:rPr>
          <w:szCs w:val="20"/>
          <w:lang w:val="en-GB"/>
        </w:rPr>
        <w:t xml:space="preserve">WeNMR </w:t>
      </w:r>
      <w:r w:rsidR="00607F42" w:rsidRPr="00AC44A4">
        <w:rPr>
          <w:szCs w:val="20"/>
          <w:lang w:val="en-GB"/>
        </w:rPr>
        <w:t>portal supports</w:t>
      </w:r>
      <w:r w:rsidR="00183365" w:rsidRPr="00AC44A4">
        <w:rPr>
          <w:szCs w:val="20"/>
          <w:lang w:val="en-GB"/>
        </w:rPr>
        <w:t xml:space="preserve"> a subset of services </w:t>
      </w:r>
      <w:r w:rsidR="00C55CE8" w:rsidRPr="00AC44A4">
        <w:rPr>
          <w:szCs w:val="20"/>
          <w:lang w:val="en-GB"/>
        </w:rPr>
        <w:t>that</w:t>
      </w:r>
      <w:r w:rsidR="00183365" w:rsidRPr="00AC44A4">
        <w:rPr>
          <w:szCs w:val="20"/>
          <w:lang w:val="en-GB"/>
        </w:rPr>
        <w:t xml:space="preserve"> are used for NMR structure determination (</w:t>
      </w:r>
      <w:r w:rsidR="00607F42" w:rsidRPr="00AC44A4">
        <w:rPr>
          <w:szCs w:val="20"/>
          <w:lang w:val="en-GB"/>
        </w:rPr>
        <w:t xml:space="preserve">computations </w:t>
      </w:r>
      <w:r w:rsidR="00183365" w:rsidRPr="00AC44A4">
        <w:rPr>
          <w:szCs w:val="20"/>
          <w:lang w:val="en-GB"/>
        </w:rPr>
        <w:t xml:space="preserve">from data processing to structure calculations) as well as for molecular modelling (e.g </w:t>
      </w:r>
      <w:r w:rsidR="00C55CE8" w:rsidRPr="00AC44A4">
        <w:rPr>
          <w:szCs w:val="20"/>
          <w:lang w:val="en-GB"/>
        </w:rPr>
        <w:t>molecular dynamics or macro</w:t>
      </w:r>
      <w:r w:rsidR="00037D50">
        <w:rPr>
          <w:szCs w:val="20"/>
          <w:lang w:val="en-GB"/>
        </w:rPr>
        <w:t>molecular docking)</w:t>
      </w:r>
      <w:r w:rsidR="004D002D">
        <w:rPr>
          <w:szCs w:val="20"/>
          <w:lang w:val="en-GB"/>
        </w:rPr>
        <w:t>,</w:t>
      </w:r>
      <w:r w:rsidR="00037D50">
        <w:rPr>
          <w:szCs w:val="20"/>
          <w:lang w:val="en-GB"/>
        </w:rPr>
        <w:t xml:space="preserve"> while</w:t>
      </w:r>
      <w:r w:rsidR="00C55CE8" w:rsidRPr="00AC44A4">
        <w:rPr>
          <w:szCs w:val="20"/>
          <w:lang w:val="en-GB"/>
        </w:rPr>
        <w:t xml:space="preserve"> SBGrid focuses on advanced X-ray crystallography structure determination workflows (e.g. wide search molecular replacement or low-resolution structure refinement). </w:t>
      </w:r>
      <w:r w:rsidR="00E40E25">
        <w:rPr>
          <w:szCs w:val="20"/>
          <w:lang w:val="en-GB"/>
        </w:rPr>
        <w:t xml:space="preserve">The two are thus highly complementary. </w:t>
      </w:r>
      <w:r w:rsidR="004D002D">
        <w:rPr>
          <w:szCs w:val="20"/>
          <w:lang w:val="en-GB"/>
        </w:rPr>
        <w:t>By coordinating the efforts of both projects, we aim to</w:t>
      </w:r>
      <w:r w:rsidR="005A567B" w:rsidRPr="00AC44A4">
        <w:rPr>
          <w:szCs w:val="20"/>
          <w:lang w:val="en-GB"/>
        </w:rPr>
        <w:t xml:space="preserve"> further expand the scope of services </w:t>
      </w:r>
      <w:r w:rsidR="009931AD">
        <w:rPr>
          <w:szCs w:val="20"/>
          <w:lang w:val="en-GB"/>
        </w:rPr>
        <w:t xml:space="preserve">and continue </w:t>
      </w:r>
      <w:r w:rsidR="004D002D">
        <w:rPr>
          <w:szCs w:val="20"/>
          <w:lang w:val="en-GB"/>
        </w:rPr>
        <w:t>to make</w:t>
      </w:r>
      <w:r w:rsidR="009931AD">
        <w:rPr>
          <w:szCs w:val="20"/>
          <w:lang w:val="en-GB"/>
        </w:rPr>
        <w:t xml:space="preserve"> them</w:t>
      </w:r>
      <w:r w:rsidR="005A567B" w:rsidRPr="00AC44A4">
        <w:rPr>
          <w:szCs w:val="20"/>
          <w:lang w:val="en-GB"/>
        </w:rPr>
        <w:t xml:space="preserve"> available to the structural biology community at large.</w:t>
      </w:r>
    </w:p>
    <w:p w:rsidR="00AC44A4" w:rsidRPr="005B409A" w:rsidRDefault="00FF7495" w:rsidP="00AC44A4">
      <w:pPr>
        <w:pStyle w:val="Heading1"/>
        <w:rPr>
          <w:lang w:val="en-GB"/>
        </w:rPr>
      </w:pPr>
      <w:r>
        <w:rPr>
          <w:lang w:val="en-US"/>
        </w:rPr>
        <w:t>J</w:t>
      </w:r>
      <w:r w:rsidR="00AC44A4" w:rsidRPr="00B15002">
        <w:rPr>
          <w:lang w:val="en-US"/>
        </w:rPr>
        <w:t>ustification for access to resources in both the US and Europe, where applicable</w:t>
      </w:r>
    </w:p>
    <w:p w:rsidR="004D2AD6" w:rsidRDefault="00DE0E25" w:rsidP="00E40E25">
      <w:pPr>
        <w:jc w:val="both"/>
        <w:rPr>
          <w:lang w:val="en-GB"/>
        </w:rPr>
      </w:pPr>
      <w:r>
        <w:rPr>
          <w:lang w:val="en-GB"/>
        </w:rPr>
        <w:t>T</w:t>
      </w:r>
      <w:r w:rsidR="004D002D">
        <w:rPr>
          <w:lang w:val="en-GB"/>
        </w:rPr>
        <w:t>he t</w:t>
      </w:r>
      <w:r>
        <w:rPr>
          <w:lang w:val="en-GB"/>
        </w:rPr>
        <w:t>wo portal infrastructures developed by WeNMR and SBGrid are u</w:t>
      </w:r>
      <w:r w:rsidR="00DB54C9">
        <w:rPr>
          <w:lang w:val="en-GB"/>
        </w:rPr>
        <w:t xml:space="preserve">nique in </w:t>
      </w:r>
      <w:r w:rsidR="004D002D">
        <w:rPr>
          <w:lang w:val="en-GB"/>
        </w:rPr>
        <w:t>their</w:t>
      </w:r>
      <w:r w:rsidR="00DB54C9">
        <w:rPr>
          <w:lang w:val="en-GB"/>
        </w:rPr>
        <w:t xml:space="preserve"> design and require</w:t>
      </w:r>
      <w:r>
        <w:rPr>
          <w:lang w:val="en-GB"/>
        </w:rPr>
        <w:t xml:space="preserve"> </w:t>
      </w:r>
      <w:r w:rsidR="004D002D">
        <w:rPr>
          <w:lang w:val="en-GB"/>
        </w:rPr>
        <w:t xml:space="preserve">a </w:t>
      </w:r>
      <w:r>
        <w:rPr>
          <w:lang w:val="en-GB"/>
        </w:rPr>
        <w:t>high level of computational and scientific support.</w:t>
      </w:r>
      <w:r w:rsidR="00E67572">
        <w:rPr>
          <w:lang w:val="en-GB"/>
        </w:rPr>
        <w:t xml:space="preserve"> </w:t>
      </w:r>
      <w:r w:rsidR="004D002D">
        <w:rPr>
          <w:lang w:val="en-GB"/>
        </w:rPr>
        <w:t>The</w:t>
      </w:r>
      <w:r w:rsidR="00DB54C9">
        <w:rPr>
          <w:lang w:val="en-GB"/>
        </w:rPr>
        <w:t>se</w:t>
      </w:r>
      <w:r w:rsidR="00E67572">
        <w:rPr>
          <w:lang w:val="en-GB"/>
        </w:rPr>
        <w:t xml:space="preserve"> infrastructures need to be continuously updated to incorporate new versions of scientific applications and databases. It</w:t>
      </w:r>
      <w:r w:rsidR="004D002D">
        <w:rPr>
          <w:lang w:val="en-GB"/>
        </w:rPr>
        <w:t xml:space="preserve"> is,</w:t>
      </w:r>
      <w:r w:rsidR="00E67572">
        <w:rPr>
          <w:lang w:val="en-GB"/>
        </w:rPr>
        <w:t xml:space="preserve"> th</w:t>
      </w:r>
      <w:r w:rsidR="0095290C">
        <w:rPr>
          <w:lang w:val="en-GB"/>
        </w:rPr>
        <w:t>erefore</w:t>
      </w:r>
      <w:r w:rsidR="004D002D">
        <w:rPr>
          <w:lang w:val="en-GB"/>
        </w:rPr>
        <w:t>,</w:t>
      </w:r>
      <w:r w:rsidR="0095290C">
        <w:rPr>
          <w:lang w:val="en-GB"/>
        </w:rPr>
        <w:t xml:space="preserve"> </w:t>
      </w:r>
      <w:r w:rsidR="00A76DA1">
        <w:rPr>
          <w:lang w:val="en-GB"/>
        </w:rPr>
        <w:t xml:space="preserve">very </w:t>
      </w:r>
      <w:r w:rsidR="00A76DA1" w:rsidRPr="001465B0">
        <w:rPr>
          <w:lang w:val="en-GB"/>
        </w:rPr>
        <w:t>appealing</w:t>
      </w:r>
      <w:r w:rsidR="00E67572">
        <w:rPr>
          <w:lang w:val="en-GB"/>
        </w:rPr>
        <w:t xml:space="preserve"> to extend access to those specialized resources to the global community rather than to redeploy or redevelop supported workflows </w:t>
      </w:r>
      <w:r w:rsidR="00D37E37">
        <w:rPr>
          <w:lang w:val="en-GB"/>
        </w:rPr>
        <w:t>in parallel</w:t>
      </w:r>
      <w:r w:rsidR="00E67572">
        <w:rPr>
          <w:lang w:val="en-GB"/>
        </w:rPr>
        <w:t xml:space="preserve"> in</w:t>
      </w:r>
      <w:r w:rsidR="004D002D">
        <w:rPr>
          <w:lang w:val="en-GB"/>
        </w:rPr>
        <w:t xml:space="preserve"> the</w:t>
      </w:r>
      <w:r w:rsidR="00E67572">
        <w:rPr>
          <w:lang w:val="en-GB"/>
        </w:rPr>
        <w:t xml:space="preserve"> USA and Europe.</w:t>
      </w:r>
      <w:r w:rsidR="00D37E37">
        <w:rPr>
          <w:lang w:val="en-GB"/>
        </w:rPr>
        <w:t xml:space="preserve"> </w:t>
      </w:r>
      <w:r w:rsidR="004D002D">
        <w:rPr>
          <w:lang w:val="en-GB"/>
        </w:rPr>
        <w:t>Sharing access to global resources would have the additional advantage of load balancing across a larger pool of computational resources and of sharing and promoting specialized local knowledge and technologies.</w:t>
      </w:r>
    </w:p>
    <w:p w:rsidR="001465B0" w:rsidRDefault="00FF7495" w:rsidP="001465B0">
      <w:pPr>
        <w:pStyle w:val="Heading1"/>
        <w:rPr>
          <w:lang w:val="en-US"/>
        </w:rPr>
      </w:pPr>
      <w:r>
        <w:rPr>
          <w:lang w:val="en-US"/>
        </w:rPr>
        <w:t>R</w:t>
      </w:r>
      <w:r w:rsidR="001465B0" w:rsidRPr="00B15002">
        <w:rPr>
          <w:lang w:val="en-US"/>
        </w:rPr>
        <w:t>esource levels required to support the collaborative work.</w:t>
      </w:r>
    </w:p>
    <w:p w:rsidR="00A34C4A" w:rsidRDefault="003E2649" w:rsidP="008221BD">
      <w:pPr>
        <w:jc w:val="both"/>
        <w:rPr>
          <w:lang w:val="en-US"/>
        </w:rPr>
      </w:pPr>
      <w:r>
        <w:rPr>
          <w:noProof/>
          <w:lang w:val="en-US"/>
        </w:rPr>
        <w:drawing>
          <wp:anchor distT="0" distB="0" distL="114300" distR="114300" simplePos="0" relativeHeight="251654656" behindDoc="0" locked="0" layoutInCell="1" allowOverlap="1">
            <wp:simplePos x="0" y="0"/>
            <wp:positionH relativeFrom="column">
              <wp:posOffset>0</wp:posOffset>
            </wp:positionH>
            <wp:positionV relativeFrom="paragraph">
              <wp:posOffset>127000</wp:posOffset>
            </wp:positionV>
            <wp:extent cx="1622425" cy="1795780"/>
            <wp:effectExtent l="0" t="0" r="3175" b="762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2425" cy="179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7A2089">
        <w:rPr>
          <w:lang w:val="en-US"/>
        </w:rPr>
        <w:t>On an annual basis</w:t>
      </w:r>
      <w:r w:rsidR="004D002D">
        <w:rPr>
          <w:lang w:val="en-US"/>
        </w:rPr>
        <w:t>, the</w:t>
      </w:r>
      <w:r w:rsidR="007A2089">
        <w:rPr>
          <w:lang w:val="en-US"/>
        </w:rPr>
        <w:t xml:space="preserve"> </w:t>
      </w:r>
      <w:r w:rsidR="00A6074A">
        <w:rPr>
          <w:lang w:val="en-US"/>
        </w:rPr>
        <w:t xml:space="preserve">WeNMR project supports </w:t>
      </w:r>
      <w:r w:rsidR="008221BD" w:rsidRPr="008221BD">
        <w:rPr>
          <w:lang w:val="en-US"/>
        </w:rPr>
        <w:t>4</w:t>
      </w:r>
      <w:r w:rsidR="00E40E25" w:rsidRPr="008221BD">
        <w:rPr>
          <w:lang w:val="en-US"/>
        </w:rPr>
        <w:t xml:space="preserve">,000,000 </w:t>
      </w:r>
      <w:r w:rsidR="00A6074A" w:rsidRPr="008221BD">
        <w:rPr>
          <w:lang w:val="en-US"/>
        </w:rPr>
        <w:t>CPU</w:t>
      </w:r>
      <w:r w:rsidR="00A6074A">
        <w:rPr>
          <w:lang w:val="en-US"/>
        </w:rPr>
        <w:t xml:space="preserve"> hours with peak utilization of </w:t>
      </w:r>
      <w:r w:rsidR="008221BD">
        <w:rPr>
          <w:lang w:val="en-US"/>
        </w:rPr>
        <w:t>~5</w:t>
      </w:r>
      <w:r w:rsidR="004D002D">
        <w:rPr>
          <w:lang w:val="en-US"/>
        </w:rPr>
        <w:t>,</w:t>
      </w:r>
      <w:r w:rsidR="008221BD">
        <w:rPr>
          <w:lang w:val="en-US"/>
        </w:rPr>
        <w:t>000 CPUs</w:t>
      </w:r>
      <w:r w:rsidR="00A6074A">
        <w:rPr>
          <w:lang w:val="en-US"/>
        </w:rPr>
        <w:t>. WeNMR submit</w:t>
      </w:r>
      <w:r w:rsidR="001331E9">
        <w:rPr>
          <w:lang w:val="en-US"/>
        </w:rPr>
        <w:t>s</w:t>
      </w:r>
      <w:r w:rsidR="00A6074A">
        <w:rPr>
          <w:lang w:val="en-US"/>
        </w:rPr>
        <w:t xml:space="preserve"> jobs to 25 mostly European resource centers</w:t>
      </w:r>
      <w:r w:rsidR="00F84DDB">
        <w:rPr>
          <w:lang w:val="en-US"/>
        </w:rPr>
        <w:t xml:space="preserve"> (RC)</w:t>
      </w:r>
      <w:r w:rsidR="00A6074A">
        <w:rPr>
          <w:lang w:val="en-US"/>
        </w:rPr>
        <w:t xml:space="preserve"> </w:t>
      </w:r>
      <w:r w:rsidR="00F84DDB">
        <w:rPr>
          <w:lang w:val="en-US"/>
        </w:rPr>
        <w:t xml:space="preserve">and </w:t>
      </w:r>
      <w:r w:rsidR="004D002D">
        <w:rPr>
          <w:lang w:val="en-US"/>
        </w:rPr>
        <w:t>has</w:t>
      </w:r>
      <w:r w:rsidR="00F84DDB">
        <w:rPr>
          <w:lang w:val="en-US"/>
        </w:rPr>
        <w:t xml:space="preserve"> opportunistic access to ~50,000 CPU-cores</w:t>
      </w:r>
      <w:r w:rsidR="001331E9">
        <w:rPr>
          <w:lang w:val="en-US"/>
        </w:rPr>
        <w:t xml:space="preserve"> (</w:t>
      </w:r>
      <w:r w:rsidR="001331E9" w:rsidRPr="00B87B03">
        <w:rPr>
          <w:b/>
          <w:color w:val="1F497D"/>
          <w:lang w:val="en-US"/>
        </w:rPr>
        <w:t>Fig</w:t>
      </w:r>
      <w:r w:rsidR="00FF7495" w:rsidRPr="00B87B03">
        <w:rPr>
          <w:b/>
          <w:color w:val="1F497D"/>
          <w:lang w:val="en-US"/>
        </w:rPr>
        <w:t>ure</w:t>
      </w:r>
      <w:r w:rsidR="001331E9" w:rsidRPr="00B87B03">
        <w:rPr>
          <w:b/>
          <w:color w:val="1F497D"/>
          <w:lang w:val="en-US"/>
        </w:rPr>
        <w:t xml:space="preserve"> 1</w:t>
      </w:r>
      <w:r w:rsidR="001331E9">
        <w:rPr>
          <w:lang w:val="en-US"/>
        </w:rPr>
        <w:t>)</w:t>
      </w:r>
      <w:r w:rsidR="00F84DDB">
        <w:rPr>
          <w:lang w:val="en-US"/>
        </w:rPr>
        <w:t xml:space="preserve">. Only 3 out of 25 RCs are fully dedicated to </w:t>
      </w:r>
      <w:r w:rsidR="004D002D">
        <w:rPr>
          <w:lang w:val="en-US"/>
        </w:rPr>
        <w:t xml:space="preserve">the </w:t>
      </w:r>
      <w:r w:rsidR="00F84DDB">
        <w:rPr>
          <w:lang w:val="en-US"/>
        </w:rPr>
        <w:t xml:space="preserve">WeNMR project and provide </w:t>
      </w:r>
      <w:r w:rsidR="007A2089">
        <w:rPr>
          <w:lang w:val="en-US"/>
        </w:rPr>
        <w:t>a high-availability 320 CPU-core queue.</w:t>
      </w:r>
      <w:r w:rsidR="006A1220">
        <w:rPr>
          <w:lang w:val="en-US"/>
        </w:rPr>
        <w:t xml:space="preserve"> </w:t>
      </w:r>
      <w:r w:rsidR="004D002D">
        <w:rPr>
          <w:lang w:val="en-US"/>
        </w:rPr>
        <w:t xml:space="preserve">The </w:t>
      </w:r>
      <w:r w:rsidR="00A34C4A">
        <w:rPr>
          <w:lang w:val="en-US"/>
        </w:rPr>
        <w:t xml:space="preserve">SBGrid VO </w:t>
      </w:r>
      <w:r w:rsidR="00A6074A">
        <w:rPr>
          <w:lang w:val="en-US"/>
        </w:rPr>
        <w:t>supports</w:t>
      </w:r>
      <w:r w:rsidR="00A34C4A">
        <w:rPr>
          <w:lang w:val="en-US"/>
        </w:rPr>
        <w:t xml:space="preserve"> approximately 5,000,000 CPU hours on the Open Science Grid, with peak utilization of ~5</w:t>
      </w:r>
      <w:r w:rsidR="004D002D">
        <w:rPr>
          <w:lang w:val="en-US"/>
        </w:rPr>
        <w:t>,</w:t>
      </w:r>
      <w:r w:rsidR="00A34C4A">
        <w:rPr>
          <w:lang w:val="en-US"/>
        </w:rPr>
        <w:t xml:space="preserve">000 CPUs. </w:t>
      </w:r>
      <w:r w:rsidR="00A6074A">
        <w:rPr>
          <w:lang w:val="en-US"/>
        </w:rPr>
        <w:t xml:space="preserve">SBGrid can submit computational jobs to 20 resource centers in </w:t>
      </w:r>
      <w:r w:rsidR="004D002D">
        <w:rPr>
          <w:lang w:val="en-US"/>
        </w:rPr>
        <w:t xml:space="preserve">the </w:t>
      </w:r>
      <w:r w:rsidR="00A6074A">
        <w:rPr>
          <w:lang w:val="en-US"/>
        </w:rPr>
        <w:t xml:space="preserve">US and </w:t>
      </w:r>
      <w:r w:rsidR="009931AD">
        <w:rPr>
          <w:lang w:val="en-US"/>
        </w:rPr>
        <w:t>has</w:t>
      </w:r>
      <w:r w:rsidR="00A6074A">
        <w:rPr>
          <w:lang w:val="en-US"/>
        </w:rPr>
        <w:t xml:space="preserve"> opportunistic access to approximately 40,000 CPU-cores. </w:t>
      </w:r>
      <w:r w:rsidR="004D002D">
        <w:rPr>
          <w:lang w:val="en-US"/>
        </w:rPr>
        <w:t>B</w:t>
      </w:r>
      <w:r w:rsidR="00F84DDB">
        <w:rPr>
          <w:lang w:val="en-US"/>
        </w:rPr>
        <w:t xml:space="preserve">etween 100 and 10,000 cores are </w:t>
      </w:r>
      <w:r w:rsidR="004D002D">
        <w:rPr>
          <w:lang w:val="en-US"/>
        </w:rPr>
        <w:t xml:space="preserve">typically </w:t>
      </w:r>
      <w:r w:rsidR="00F84DDB">
        <w:rPr>
          <w:lang w:val="en-US"/>
        </w:rPr>
        <w:t xml:space="preserve">available to SBGrid for immediate job </w:t>
      </w:r>
      <w:r w:rsidR="009931AD">
        <w:rPr>
          <w:lang w:val="en-US"/>
        </w:rPr>
        <w:t>execution</w:t>
      </w:r>
      <w:r w:rsidR="00F84DDB">
        <w:rPr>
          <w:lang w:val="en-US"/>
        </w:rPr>
        <w:t>.</w:t>
      </w:r>
    </w:p>
    <w:p w:rsidR="004D002D" w:rsidRDefault="003E2649" w:rsidP="004D002D">
      <w:pPr>
        <w:jc w:val="both"/>
        <w:rPr>
          <w:lang w:val="en-US"/>
        </w:rP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-1736725</wp:posOffset>
                </wp:positionH>
                <wp:positionV relativeFrom="paragraph">
                  <wp:posOffset>529590</wp:posOffset>
                </wp:positionV>
                <wp:extent cx="1622425" cy="228600"/>
                <wp:effectExtent l="3175" t="0" r="0" b="381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A41" w:rsidRPr="00046C63" w:rsidRDefault="004C6A41" w:rsidP="00046C63">
                            <w:pPr>
                              <w:pStyle w:val="Caption"/>
                              <w:jc w:val="center"/>
                              <w:rPr>
                                <w:noProof/>
                                <w:szCs w:val="22"/>
                              </w:rPr>
                            </w:pPr>
                            <w:r w:rsidRPr="00046C63">
                              <w:rPr>
                                <w:sz w:val="16"/>
                              </w:rPr>
                              <w:t xml:space="preserve">Figure </w:t>
                            </w:r>
                            <w:r w:rsidRPr="00046C63">
                              <w:rPr>
                                <w:sz w:val="16"/>
                              </w:rPr>
                              <w:fldChar w:fldCharType="begin"/>
                            </w:r>
                            <w:r w:rsidRPr="00046C63">
                              <w:rPr>
                                <w:sz w:val="16"/>
                              </w:rPr>
                              <w:instrText xml:space="preserve"> SEQ Figure \* ARABIC </w:instrText>
                            </w:r>
                            <w:r w:rsidRPr="00046C63">
                              <w:rPr>
                                <w:sz w:val="16"/>
                              </w:rPr>
                              <w:fldChar w:fldCharType="separate"/>
                            </w:r>
                            <w:r w:rsidRPr="00046C63">
                              <w:rPr>
                                <w:noProof/>
                                <w:sz w:val="16"/>
                              </w:rPr>
                              <w:t>1</w:t>
                            </w:r>
                            <w:r w:rsidRPr="00046C63">
                              <w:rPr>
                                <w:noProof/>
                                <w:sz w:val="16"/>
                              </w:rPr>
                              <w:fldChar w:fldCharType="end"/>
                            </w:r>
                            <w:r w:rsidRPr="00046C63">
                              <w:rPr>
                                <w:sz w:val="16"/>
                              </w:rPr>
                              <w:t>. WeNMR Resource 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36.7pt;margin-top:41.7pt;width:127.7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" filled="f" stroked="f">
                <v:textbox inset="0,0,0,0">
                  <w:txbxContent>
                    <w:p w:rsidR="004C6A41" w:rsidRPr="00046C63" w:rsidRDefault="004C6A41" w:rsidP="00046C63">
                      <w:pPr>
                        <w:pStyle w:val="Caption"/>
                        <w:jc w:val="center"/>
                        <w:rPr>
                          <w:noProof/>
                          <w:szCs w:val="22"/>
                        </w:rPr>
                      </w:pPr>
                      <w:r w:rsidRPr="00046C63">
                        <w:rPr>
                          <w:sz w:val="16"/>
                        </w:rPr>
                        <w:t xml:space="preserve">Figure </w:t>
                      </w:r>
                      <w:r w:rsidRPr="00046C63">
                        <w:rPr>
                          <w:sz w:val="16"/>
                        </w:rPr>
                        <w:fldChar w:fldCharType="begin"/>
                      </w:r>
                      <w:r w:rsidRPr="00046C63">
                        <w:rPr>
                          <w:sz w:val="16"/>
                        </w:rPr>
                        <w:instrText xml:space="preserve"> SEQ Figure \* ARABIC </w:instrText>
                      </w:r>
                      <w:r w:rsidRPr="00046C63">
                        <w:rPr>
                          <w:sz w:val="16"/>
                        </w:rPr>
                        <w:fldChar w:fldCharType="separate"/>
                      </w:r>
                      <w:r w:rsidRPr="00046C63">
                        <w:rPr>
                          <w:noProof/>
                          <w:sz w:val="16"/>
                        </w:rPr>
                        <w:t>1</w:t>
                      </w:r>
                      <w:r w:rsidRPr="00046C63">
                        <w:rPr>
                          <w:noProof/>
                          <w:sz w:val="16"/>
                        </w:rPr>
                        <w:fldChar w:fldCharType="end"/>
                      </w:r>
                      <w:r w:rsidRPr="00046C63">
                        <w:rPr>
                          <w:sz w:val="16"/>
                        </w:rPr>
                        <w:t>. WeNMR Resource Centers</w:t>
                      </w:r>
                    </w:p>
                  </w:txbxContent>
                </v:textbox>
                <w10:wrap type="tight"/>
              </v:shape>
            </w:pict>
          </mc:Fallback>
        </mc:AlternateContent>
      </w:r>
      <w:r w:rsidR="00B43E1F">
        <w:rPr>
          <w:lang w:val="en-US"/>
        </w:rPr>
        <w:t xml:space="preserve">Both VOs attempt to load balance computations submitted by </w:t>
      </w:r>
      <w:r w:rsidR="00333F42">
        <w:rPr>
          <w:lang w:val="en-US"/>
        </w:rPr>
        <w:t xml:space="preserve">the </w:t>
      </w:r>
      <w:r w:rsidR="00B43E1F">
        <w:rPr>
          <w:lang w:val="en-US"/>
        </w:rPr>
        <w:t xml:space="preserve">end users, however </w:t>
      </w:r>
      <w:r w:rsidR="006B0A34">
        <w:rPr>
          <w:lang w:val="en-US"/>
        </w:rPr>
        <w:t xml:space="preserve">the </w:t>
      </w:r>
      <w:r w:rsidR="00B43E1F">
        <w:rPr>
          <w:lang w:val="en-US"/>
        </w:rPr>
        <w:t xml:space="preserve">rate of job submission </w:t>
      </w:r>
      <w:r w:rsidR="006B0A34">
        <w:rPr>
          <w:lang w:val="en-US"/>
        </w:rPr>
        <w:t>is variable</w:t>
      </w:r>
      <w:r w:rsidR="00B43E1F">
        <w:rPr>
          <w:lang w:val="en-US"/>
        </w:rPr>
        <w:t xml:space="preserve"> </w:t>
      </w:r>
      <w:r w:rsidR="006B0A34">
        <w:rPr>
          <w:lang w:val="en-US"/>
        </w:rPr>
        <w:t xml:space="preserve">and the convergence of the majority of computations can </w:t>
      </w:r>
      <w:r w:rsidR="004D002D">
        <w:rPr>
          <w:lang w:val="en-US"/>
        </w:rPr>
        <w:t xml:space="preserve">rarely </w:t>
      </w:r>
      <w:r w:rsidR="006B0A34">
        <w:rPr>
          <w:lang w:val="en-US"/>
        </w:rPr>
        <w:t>be predicted based on job submission parameters</w:t>
      </w:r>
      <w:r w:rsidR="004D002D">
        <w:rPr>
          <w:lang w:val="en-US"/>
        </w:rPr>
        <w:t>.</w:t>
      </w:r>
      <w:r w:rsidR="004D002D" w:rsidRPr="004D002D">
        <w:rPr>
          <w:lang w:val="en-US"/>
        </w:rPr>
        <w:t xml:space="preserve"> </w:t>
      </w:r>
      <w:r w:rsidR="004D002D">
        <w:rPr>
          <w:lang w:val="en-US"/>
        </w:rPr>
        <w:t xml:space="preserve">Resource utilization is, consequently, intermittent. The periods of peak utilization between the two VOs usually do not overlap and therefore access to a combined pool of resources between EGI and OSG would effectively double the computational capacity of both VOs. </w:t>
      </w:r>
    </w:p>
    <w:p w:rsidR="00333F42" w:rsidRDefault="00680DFC" w:rsidP="008221BD">
      <w:pPr>
        <w:jc w:val="both"/>
        <w:rPr>
          <w:lang w:val="en-US"/>
        </w:rPr>
      </w:pPr>
      <w:r>
        <w:rPr>
          <w:lang w:val="en-US"/>
        </w:rPr>
        <w:t>.</w:t>
      </w:r>
      <w:r w:rsidR="00B86A9A">
        <w:rPr>
          <w:lang w:val="en-US"/>
        </w:rPr>
        <w:t xml:space="preserve"> </w:t>
      </w:r>
    </w:p>
    <w:p w:rsidR="00A912E6" w:rsidRDefault="003E2649" w:rsidP="00FF7495">
      <w:pPr>
        <w:pStyle w:val="Heading1"/>
        <w:spacing w:after="60"/>
        <w:rPr>
          <w:lang w:val="en-US"/>
        </w:rPr>
      </w:pPr>
      <w:r>
        <w:rPr>
          <w:noProof/>
          <w:lang w:val="en-US"/>
        </w:rPr>
        <w:lastRenderedPageBreak/>
        <w:drawing>
          <wp:anchor distT="0" distB="0" distL="114300" distR="114300" simplePos="0" relativeHeight="251659776" behindDoc="0" locked="0" layoutInCell="1" allowOverlap="1">
            <wp:simplePos x="0" y="0"/>
            <wp:positionH relativeFrom="column">
              <wp:posOffset>3884295</wp:posOffset>
            </wp:positionH>
            <wp:positionV relativeFrom="paragraph">
              <wp:posOffset>87630</wp:posOffset>
            </wp:positionV>
            <wp:extent cx="2173605" cy="1283970"/>
            <wp:effectExtent l="0" t="0" r="10795" b="11430"/>
            <wp:wrapSquare wrapText="bothSides"/>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3605"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F7495">
        <w:rPr>
          <w:lang w:val="en-US"/>
        </w:rPr>
        <w:t>Patterns of use</w:t>
      </w:r>
    </w:p>
    <w:p w:rsidR="00D37E37" w:rsidRDefault="003E2649" w:rsidP="005C55C4">
      <w:pPr>
        <w:jc w:val="both"/>
        <w:rPr>
          <w:lang w:val="en-GB"/>
        </w:rPr>
      </w:pPr>
      <w:r>
        <w:rPr>
          <w:noProof/>
          <w:lang w:val="en-US"/>
        </w:rPr>
        <w:drawing>
          <wp:anchor distT="0" distB="0" distL="114300" distR="114300" simplePos="0" relativeHeight="251655680" behindDoc="0" locked="0" layoutInCell="1" allowOverlap="1">
            <wp:simplePos x="0" y="0"/>
            <wp:positionH relativeFrom="column">
              <wp:posOffset>3876675</wp:posOffset>
            </wp:positionH>
            <wp:positionV relativeFrom="paragraph">
              <wp:posOffset>1116965</wp:posOffset>
            </wp:positionV>
            <wp:extent cx="2196465" cy="1143000"/>
            <wp:effectExtent l="0" t="0" r="0" b="0"/>
            <wp:wrapTight wrapText="bothSides">
              <wp:wrapPolygon edited="0">
                <wp:start x="0" y="0"/>
                <wp:lineTo x="0" y="21120"/>
                <wp:lineTo x="21232" y="21120"/>
                <wp:lineTo x="21232" y="0"/>
                <wp:lineTo x="0"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64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AC0" w:rsidRPr="00AC44A4">
        <w:rPr>
          <w:szCs w:val="20"/>
          <w:lang w:val="en-GB"/>
        </w:rPr>
        <w:t>Several structural</w:t>
      </w:r>
      <w:r w:rsidR="00D97B5F">
        <w:rPr>
          <w:szCs w:val="20"/>
          <w:lang w:val="en-GB"/>
        </w:rPr>
        <w:t xml:space="preserve"> </w:t>
      </w:r>
      <w:r w:rsidR="001331E9" w:rsidRPr="00AC44A4">
        <w:rPr>
          <w:szCs w:val="20"/>
          <w:lang w:val="en-GB"/>
        </w:rPr>
        <w:t>biology applications provided by the WeNMR Science Gateway are very popular in</w:t>
      </w:r>
      <w:r w:rsidR="004D002D">
        <w:rPr>
          <w:szCs w:val="20"/>
          <w:lang w:val="en-GB"/>
        </w:rPr>
        <w:t xml:space="preserve"> the</w:t>
      </w:r>
      <w:r w:rsidR="001331E9" w:rsidRPr="00AC44A4">
        <w:rPr>
          <w:szCs w:val="20"/>
          <w:lang w:val="en-GB"/>
        </w:rPr>
        <w:t xml:space="preserve"> US, as shown in the map below for the HADDOCK application. A large fraction of the 2</w:t>
      </w:r>
      <w:r w:rsidR="004C6A41">
        <w:rPr>
          <w:szCs w:val="20"/>
          <w:lang w:val="en-GB"/>
        </w:rPr>
        <w:t>,</w:t>
      </w:r>
      <w:r w:rsidR="001331E9" w:rsidRPr="00AC44A4">
        <w:rPr>
          <w:szCs w:val="20"/>
          <w:lang w:val="en-GB"/>
        </w:rPr>
        <w:t xml:space="preserve">800+ HADDCOCK </w:t>
      </w:r>
      <w:r w:rsidR="004D002D">
        <w:rPr>
          <w:szCs w:val="20"/>
          <w:lang w:val="en-GB"/>
        </w:rPr>
        <w:t xml:space="preserve">users </w:t>
      </w:r>
      <w:r w:rsidR="001331E9" w:rsidRPr="00AC44A4">
        <w:rPr>
          <w:szCs w:val="20"/>
          <w:lang w:val="en-GB"/>
        </w:rPr>
        <w:t>are located in</w:t>
      </w:r>
      <w:r w:rsidR="004D002D">
        <w:rPr>
          <w:szCs w:val="20"/>
          <w:lang w:val="en-GB"/>
        </w:rPr>
        <w:t xml:space="preserve"> the</w:t>
      </w:r>
      <w:r w:rsidR="001331E9" w:rsidRPr="00AC44A4">
        <w:rPr>
          <w:szCs w:val="20"/>
          <w:lang w:val="en-GB"/>
        </w:rPr>
        <w:t xml:space="preserve"> US</w:t>
      </w:r>
      <w:r w:rsidR="00FF7495">
        <w:rPr>
          <w:szCs w:val="20"/>
          <w:lang w:val="en-GB"/>
        </w:rPr>
        <w:t xml:space="preserve"> (</w:t>
      </w:r>
      <w:r w:rsidR="00FF7495" w:rsidRPr="00B87B03">
        <w:rPr>
          <w:b/>
          <w:color w:val="1F497D"/>
          <w:szCs w:val="20"/>
          <w:lang w:val="en-GB"/>
        </w:rPr>
        <w:t>Figure</w:t>
      </w:r>
      <w:r w:rsidR="00143AC0" w:rsidRPr="00B87B03">
        <w:rPr>
          <w:b/>
          <w:color w:val="1F497D"/>
          <w:szCs w:val="20"/>
          <w:lang w:val="en-GB"/>
        </w:rPr>
        <w:t xml:space="preserve"> 2</w:t>
      </w:r>
      <w:r w:rsidR="00FF7495" w:rsidRPr="00B87B03">
        <w:rPr>
          <w:b/>
          <w:color w:val="1F497D"/>
          <w:szCs w:val="20"/>
          <w:lang w:val="en-GB"/>
        </w:rPr>
        <w:t xml:space="preserve"> top</w:t>
      </w:r>
      <w:r w:rsidR="00143AC0">
        <w:rPr>
          <w:szCs w:val="20"/>
          <w:lang w:val="en-GB"/>
        </w:rPr>
        <w:t>)</w:t>
      </w:r>
      <w:r w:rsidR="006E0878">
        <w:rPr>
          <w:szCs w:val="20"/>
          <w:lang w:val="en-GB"/>
        </w:rPr>
        <w:t xml:space="preserve">. </w:t>
      </w:r>
      <w:r w:rsidR="008221BD">
        <w:rPr>
          <w:szCs w:val="20"/>
          <w:lang w:val="en-GB"/>
        </w:rPr>
        <w:t>The WeNMR CS-Rosetta portal, which is responsible for a large fraction of CPU usage on the grid (&gt;80%)</w:t>
      </w:r>
      <w:r w:rsidR="00FF7495">
        <w:rPr>
          <w:szCs w:val="20"/>
          <w:lang w:val="en-GB"/>
        </w:rPr>
        <w:t>,</w:t>
      </w:r>
      <w:r w:rsidR="008221BD">
        <w:rPr>
          <w:szCs w:val="20"/>
          <w:lang w:val="en-GB"/>
        </w:rPr>
        <w:t xml:space="preserve"> is also </w:t>
      </w:r>
      <w:r w:rsidR="005A0F42">
        <w:rPr>
          <w:szCs w:val="20"/>
          <w:lang w:val="en-GB"/>
        </w:rPr>
        <w:t>utilized extensively</w:t>
      </w:r>
      <w:r w:rsidR="008221BD">
        <w:rPr>
          <w:szCs w:val="20"/>
          <w:lang w:val="en-GB"/>
        </w:rPr>
        <w:t xml:space="preserve"> by US users (~14% of registered users). </w:t>
      </w:r>
      <w:r w:rsidR="000F29B7">
        <w:rPr>
          <w:szCs w:val="20"/>
          <w:lang w:val="en-GB"/>
        </w:rPr>
        <w:t xml:space="preserve">Correspondingly, </w:t>
      </w:r>
      <w:r w:rsidR="004C6A41">
        <w:rPr>
          <w:szCs w:val="20"/>
          <w:lang w:val="en-GB"/>
        </w:rPr>
        <w:t xml:space="preserve">the </w:t>
      </w:r>
      <w:r w:rsidR="000F29B7">
        <w:rPr>
          <w:szCs w:val="20"/>
          <w:lang w:val="en-GB"/>
        </w:rPr>
        <w:t xml:space="preserve">majority of users who access SBGrid WSMR and low-resolution refinement portals </w:t>
      </w:r>
      <w:r w:rsidR="00B1107A">
        <w:rPr>
          <w:szCs w:val="20"/>
          <w:lang w:val="en-GB"/>
        </w:rPr>
        <w:t>are</w:t>
      </w:r>
      <w:r w:rsidR="000F29B7">
        <w:rPr>
          <w:szCs w:val="20"/>
          <w:lang w:val="en-GB"/>
        </w:rPr>
        <w:t xml:space="preserve"> from </w:t>
      </w:r>
      <w:r w:rsidR="005A0F42">
        <w:rPr>
          <w:szCs w:val="20"/>
          <w:lang w:val="en-GB"/>
        </w:rPr>
        <w:t xml:space="preserve">the </w:t>
      </w:r>
      <w:r w:rsidR="000F29B7">
        <w:rPr>
          <w:szCs w:val="20"/>
          <w:lang w:val="en-GB"/>
        </w:rPr>
        <w:t>US and Europe.</w:t>
      </w:r>
      <w:r w:rsidR="00143AC0">
        <w:rPr>
          <w:szCs w:val="20"/>
          <w:lang w:val="en-GB"/>
        </w:rPr>
        <w:t xml:space="preserve"> </w:t>
      </w:r>
      <w:r w:rsidR="00B1107A">
        <w:rPr>
          <w:szCs w:val="20"/>
          <w:lang w:val="en-GB"/>
        </w:rPr>
        <w:t xml:space="preserve">In addition, statistics </w:t>
      </w:r>
      <w:r w:rsidR="00DB54C9">
        <w:rPr>
          <w:szCs w:val="20"/>
          <w:lang w:val="en-GB"/>
        </w:rPr>
        <w:t>generated by</w:t>
      </w:r>
      <w:r w:rsidR="00B1107A">
        <w:rPr>
          <w:szCs w:val="20"/>
          <w:lang w:val="en-GB"/>
        </w:rPr>
        <w:t xml:space="preserve"> WSMR computation </w:t>
      </w:r>
      <w:r w:rsidR="00DB54C9">
        <w:rPr>
          <w:szCs w:val="20"/>
          <w:lang w:val="en-GB"/>
        </w:rPr>
        <w:t xml:space="preserve">provide </w:t>
      </w:r>
      <w:r w:rsidR="00937D82">
        <w:rPr>
          <w:szCs w:val="20"/>
          <w:lang w:val="en-GB"/>
        </w:rPr>
        <w:t>feedback</w:t>
      </w:r>
      <w:r w:rsidR="00B1107A">
        <w:rPr>
          <w:szCs w:val="20"/>
          <w:lang w:val="en-GB"/>
        </w:rPr>
        <w:t xml:space="preserve"> to </w:t>
      </w:r>
      <w:r w:rsidR="00DB54C9">
        <w:rPr>
          <w:szCs w:val="20"/>
          <w:lang w:val="en-GB"/>
        </w:rPr>
        <w:t>a software development project</w:t>
      </w:r>
      <w:r w:rsidR="00B1107A">
        <w:rPr>
          <w:szCs w:val="20"/>
          <w:lang w:val="en-GB"/>
        </w:rPr>
        <w:t xml:space="preserve"> in </w:t>
      </w:r>
      <w:r w:rsidR="005A0F42">
        <w:rPr>
          <w:szCs w:val="20"/>
          <w:lang w:val="en-GB"/>
        </w:rPr>
        <w:t xml:space="preserve">the </w:t>
      </w:r>
      <w:r w:rsidR="00B1107A">
        <w:rPr>
          <w:szCs w:val="20"/>
          <w:lang w:val="en-GB"/>
        </w:rPr>
        <w:t xml:space="preserve">UK and a large fraction of SBGrid consortium members are </w:t>
      </w:r>
      <w:r w:rsidR="005A0F42">
        <w:rPr>
          <w:szCs w:val="20"/>
          <w:lang w:val="en-GB"/>
        </w:rPr>
        <w:t xml:space="preserve">in </w:t>
      </w:r>
      <w:r w:rsidR="00B1107A">
        <w:rPr>
          <w:szCs w:val="20"/>
          <w:lang w:val="en-GB"/>
        </w:rPr>
        <w:t>European laboratories</w:t>
      </w:r>
      <w:r w:rsidR="00FF7495">
        <w:rPr>
          <w:szCs w:val="20"/>
          <w:lang w:val="en-GB"/>
        </w:rPr>
        <w:t xml:space="preserve"> (</w:t>
      </w:r>
      <w:r w:rsidR="00FF7495" w:rsidRPr="00B87B03">
        <w:rPr>
          <w:b/>
          <w:color w:val="1F497D"/>
          <w:szCs w:val="20"/>
          <w:lang w:val="en-GB"/>
        </w:rPr>
        <w:t>Figure</w:t>
      </w:r>
      <w:r w:rsidR="00753348" w:rsidRPr="00B87B03">
        <w:rPr>
          <w:b/>
          <w:color w:val="1F497D"/>
          <w:szCs w:val="20"/>
          <w:lang w:val="en-GB"/>
        </w:rPr>
        <w:t xml:space="preserve"> 2</w:t>
      </w:r>
      <w:r w:rsidR="00FF7495" w:rsidRPr="00B87B03">
        <w:rPr>
          <w:b/>
          <w:color w:val="1F497D"/>
          <w:szCs w:val="20"/>
          <w:lang w:val="en-GB"/>
        </w:rPr>
        <w:t xml:space="preserve"> bottom</w:t>
      </w:r>
      <w:r w:rsidR="00753348">
        <w:rPr>
          <w:szCs w:val="20"/>
          <w:lang w:val="en-GB"/>
        </w:rPr>
        <w:t>)</w:t>
      </w:r>
      <w:r w:rsidR="00B1107A">
        <w:rPr>
          <w:szCs w:val="20"/>
          <w:lang w:val="en-GB"/>
        </w:rPr>
        <w:t>.</w:t>
      </w:r>
    </w:p>
    <w:p w:rsidR="00D44010" w:rsidRDefault="003E2649" w:rsidP="005C55C4">
      <w:pPr>
        <w:spacing w:after="60"/>
        <w:jc w:val="both"/>
        <w:rPr>
          <w:lang w:val="en-US"/>
        </w:rPr>
      </w:pPr>
      <w:r>
        <w:rPr>
          <w:noProof/>
          <w:lang w:val="en-US"/>
        </w:rPr>
        <mc:AlternateContent>
          <mc:Choice Requires="wps">
            <w:drawing>
              <wp:anchor distT="0" distB="0" distL="114300" distR="114300" simplePos="0" relativeHeight="251660800" behindDoc="0" locked="0" layoutInCell="1" allowOverlap="1">
                <wp:simplePos x="0" y="0"/>
                <wp:positionH relativeFrom="column">
                  <wp:posOffset>3884295</wp:posOffset>
                </wp:positionH>
                <wp:positionV relativeFrom="paragraph">
                  <wp:posOffset>374015</wp:posOffset>
                </wp:positionV>
                <wp:extent cx="2173605" cy="457200"/>
                <wp:effectExtent l="0" t="5715"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A41" w:rsidRPr="00046C63" w:rsidRDefault="004C6A41" w:rsidP="005C55C4">
                            <w:pPr>
                              <w:pStyle w:val="Caption"/>
                              <w:spacing w:after="0"/>
                              <w:jc w:val="both"/>
                              <w:rPr>
                                <w:sz w:val="16"/>
                                <w:lang w:val="en-US"/>
                              </w:rPr>
                            </w:pPr>
                            <w:r w:rsidRPr="00046C63">
                              <w:rPr>
                                <w:sz w:val="16"/>
                                <w:lang w:val="en-US"/>
                              </w:rPr>
                              <w:t>Figure 2: Top) Global distribution of WeNMR HADDOCK users. Bottom) Structural biology laboratories utilizing SBGrid software support.</w:t>
                            </w:r>
                          </w:p>
                          <w:p w:rsidR="004C6A41" w:rsidRPr="00046C63" w:rsidRDefault="004C6A41">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05.85pt;margin-top:29.45pt;width:171.1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" filled="f" stroked="f">
                <v:textbox inset="0,0,0,0">
                  <w:txbxContent>
                    <w:p w:rsidR="004C6A41" w:rsidRPr="00046C63" w:rsidRDefault="004C6A41" w:rsidP="005C55C4">
                      <w:pPr>
                        <w:pStyle w:val="Caption"/>
                        <w:spacing w:after="0"/>
                        <w:jc w:val="both"/>
                        <w:rPr>
                          <w:sz w:val="16"/>
                          <w:lang w:val="en-US"/>
                        </w:rPr>
                      </w:pPr>
                      <w:r w:rsidRPr="00046C63">
                        <w:rPr>
                          <w:sz w:val="16"/>
                          <w:lang w:val="en-US"/>
                        </w:rPr>
                        <w:t>Figure 2: Top) Global distribution of WeNMR HADDOCK users. Bottom) Structural biology laboratories utilizing SBGrid software support.</w:t>
                      </w:r>
                    </w:p>
                    <w:p w:rsidR="004C6A41" w:rsidRPr="00046C63" w:rsidRDefault="004C6A41">
                      <w:pPr>
                        <w:rPr>
                          <w:b/>
                        </w:rPr>
                      </w:pPr>
                    </w:p>
                  </w:txbxContent>
                </v:textbox>
                <w10:wrap type="square"/>
              </v:shape>
            </w:pict>
          </mc:Fallback>
        </mc:AlternateContent>
      </w:r>
      <w:r w:rsidR="005A0F42" w:rsidRPr="005A0F42">
        <w:rPr>
          <w:lang w:val="en-US"/>
        </w:rPr>
        <w:t xml:space="preserve"> </w:t>
      </w:r>
      <w:r w:rsidR="005A0F42">
        <w:rPr>
          <w:lang w:val="en-US"/>
        </w:rPr>
        <w:t>Grid jobs submitted through the WeNMR portal are usually dispatched to the EGI resources</w:t>
      </w:r>
      <w:r w:rsidR="000141FB">
        <w:rPr>
          <w:lang w:val="en-US"/>
        </w:rPr>
        <w:t xml:space="preserve"> (</w:t>
      </w:r>
      <w:r w:rsidR="005A0F42" w:rsidRPr="00B87B03">
        <w:rPr>
          <w:b/>
          <w:color w:val="1F497D"/>
          <w:szCs w:val="20"/>
          <w:lang w:val="en-GB"/>
        </w:rPr>
        <w:t>Figure 2</w:t>
      </w:r>
      <w:r w:rsidR="000141FB">
        <w:rPr>
          <w:lang w:val="en-US"/>
        </w:rPr>
        <w:t>)</w:t>
      </w:r>
      <w:r w:rsidR="00D44010">
        <w:rPr>
          <w:lang w:val="en-US"/>
        </w:rPr>
        <w:t xml:space="preserve">. </w:t>
      </w:r>
      <w:r w:rsidR="000141FB">
        <w:rPr>
          <w:lang w:val="en-US"/>
        </w:rPr>
        <w:t>P</w:t>
      </w:r>
      <w:r w:rsidR="00D44010">
        <w:rPr>
          <w:lang w:val="en-US"/>
        </w:rPr>
        <w:t>ersonal X.509 certifica</w:t>
      </w:r>
      <w:r w:rsidR="000141FB">
        <w:rPr>
          <w:lang w:val="en-US"/>
        </w:rPr>
        <w:t>tes</w:t>
      </w:r>
      <w:r w:rsidR="00D44010">
        <w:rPr>
          <w:lang w:val="en-US"/>
        </w:rPr>
        <w:t xml:space="preserve"> for US users </w:t>
      </w:r>
      <w:r w:rsidR="003A1C89">
        <w:rPr>
          <w:lang w:val="en-US"/>
        </w:rPr>
        <w:t>who</w:t>
      </w:r>
      <w:r w:rsidR="00D44010">
        <w:rPr>
          <w:lang w:val="en-US"/>
        </w:rPr>
        <w:t xml:space="preserve"> require access to WeNMR resources </w:t>
      </w:r>
      <w:r w:rsidR="000141FB">
        <w:rPr>
          <w:lang w:val="en-US"/>
        </w:rPr>
        <w:t xml:space="preserve">are issued by </w:t>
      </w:r>
      <w:r w:rsidR="005A0F42">
        <w:rPr>
          <w:lang w:val="en-US"/>
        </w:rPr>
        <w:t xml:space="preserve">the </w:t>
      </w:r>
      <w:r w:rsidR="000141FB">
        <w:rPr>
          <w:lang w:val="en-US"/>
        </w:rPr>
        <w:t>SBGrid</w:t>
      </w:r>
      <w:r w:rsidR="003A1C89">
        <w:rPr>
          <w:lang w:val="en-US"/>
        </w:rPr>
        <w:t xml:space="preserve"> VO</w:t>
      </w:r>
      <w:r w:rsidR="000141FB">
        <w:rPr>
          <w:lang w:val="en-US"/>
        </w:rPr>
        <w:t>.</w:t>
      </w:r>
      <w:r w:rsidR="008221BD">
        <w:rPr>
          <w:lang w:val="en-US"/>
        </w:rPr>
        <w:t xml:space="preserve"> WeNMR computations are typically completed within one to two days for HADDOCK, and one to two weeks for CS-Rosetta</w:t>
      </w:r>
      <w:r w:rsidR="00FF7495">
        <w:rPr>
          <w:lang w:val="en-US"/>
        </w:rPr>
        <w:t>. T</w:t>
      </w:r>
      <w:r w:rsidR="008221BD">
        <w:rPr>
          <w:lang w:val="en-US"/>
        </w:rPr>
        <w:t>he number of concurrent runs per user is</w:t>
      </w:r>
      <w:r w:rsidR="005A0F42">
        <w:rPr>
          <w:lang w:val="en-US"/>
        </w:rPr>
        <w:t>,</w:t>
      </w:r>
      <w:r w:rsidR="00FF7495">
        <w:rPr>
          <w:lang w:val="en-US"/>
        </w:rPr>
        <w:t xml:space="preserve"> however</w:t>
      </w:r>
      <w:r w:rsidR="005A0F42">
        <w:rPr>
          <w:lang w:val="en-US"/>
        </w:rPr>
        <w:t>,</w:t>
      </w:r>
      <w:r w:rsidR="008221BD">
        <w:rPr>
          <w:lang w:val="en-US"/>
        </w:rPr>
        <w:t xml:space="preserve"> limited.</w:t>
      </w:r>
      <w:r w:rsidR="003A1C89">
        <w:rPr>
          <w:lang w:val="en-US"/>
        </w:rPr>
        <w:t xml:space="preserve"> SBGrid computations are dispatched to the OSG resources. In most cases all large computational jobs submitted through the SBGrid portal are completed within 1-2 weeks, although occasional bottlenecks can develop with wait time</w:t>
      </w:r>
      <w:r w:rsidR="005A0F42">
        <w:rPr>
          <w:lang w:val="en-US"/>
        </w:rPr>
        <w:t>s</w:t>
      </w:r>
      <w:r w:rsidR="003A1C89">
        <w:rPr>
          <w:lang w:val="en-US"/>
        </w:rPr>
        <w:t xml:space="preserve"> of up to four weeks. </w:t>
      </w:r>
    </w:p>
    <w:p w:rsidR="00B86A9A" w:rsidRDefault="003E2649" w:rsidP="005C55C4">
      <w:pPr>
        <w:spacing w:after="60"/>
        <w:jc w:val="both"/>
        <w:rPr>
          <w:lang w:val="en-US"/>
        </w:rPr>
      </w:pPr>
      <w:r>
        <w:rPr>
          <w:b/>
          <w:noProof/>
          <w:color w:val="1F497D"/>
          <w:lang w:val="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2143760</wp:posOffset>
                </wp:positionV>
                <wp:extent cx="3543300" cy="152400"/>
                <wp:effectExtent l="0" t="0" r="0" b="254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A41" w:rsidRPr="00046C63" w:rsidRDefault="004C6A41" w:rsidP="00046C63">
                            <w:pPr>
                              <w:pStyle w:val="Caption"/>
                              <w:jc w:val="center"/>
                              <w:rPr>
                                <w:noProof/>
                                <w:szCs w:val="22"/>
                              </w:rPr>
                            </w:pPr>
                            <w:r w:rsidRPr="00046C63">
                              <w:rPr>
                                <w:sz w:val="16"/>
                              </w:rPr>
                              <w:t>Figure 3. WeNMR-SBGrid pilot project to establish EGI-OSG interoperability.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0;margin-top:168.8pt;width:279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" filled="f" stroked="f">
                <v:textbox inset="0,0,0,0">
                  <w:txbxContent>
                    <w:p w:rsidR="004C6A41" w:rsidRPr="00046C63" w:rsidRDefault="004C6A41" w:rsidP="00046C63">
                      <w:pPr>
                        <w:pStyle w:val="Caption"/>
                        <w:jc w:val="center"/>
                        <w:rPr>
                          <w:noProof/>
                          <w:szCs w:val="22"/>
                        </w:rPr>
                      </w:pPr>
                      <w:r w:rsidRPr="00046C63">
                        <w:rPr>
                          <w:sz w:val="16"/>
                        </w:rPr>
                        <w:t>Figure 3. WeNMR-SBGrid pilot project to establish EGI-OSG interoperability.</w:t>
                      </w:r>
                    </w:p>
                  </w:txbxContent>
                </v:textbox>
                <w10:wrap type="tight"/>
              </v:shape>
            </w:pict>
          </mc:Fallback>
        </mc:AlternateContent>
      </w:r>
      <w:r>
        <w:rPr>
          <w:noProof/>
          <w:lang w:val="en-US"/>
        </w:rPr>
        <w:drawing>
          <wp:anchor distT="0" distB="0" distL="114300" distR="114300" simplePos="0" relativeHeight="251656704" behindDoc="0" locked="0" layoutInCell="1" allowOverlap="1">
            <wp:simplePos x="0" y="0"/>
            <wp:positionH relativeFrom="column">
              <wp:posOffset>0</wp:posOffset>
            </wp:positionH>
            <wp:positionV relativeFrom="paragraph">
              <wp:posOffset>367665</wp:posOffset>
            </wp:positionV>
            <wp:extent cx="3543300" cy="1604645"/>
            <wp:effectExtent l="0" t="0" r="12700" b="0"/>
            <wp:wrapTight wrapText="bothSides">
              <wp:wrapPolygon edited="0">
                <wp:start x="0" y="0"/>
                <wp:lineTo x="0" y="21198"/>
                <wp:lineTo x="21523" y="21198"/>
                <wp:lineTo x="21523" y="0"/>
                <wp:lineTo x="0" y="0"/>
              </wp:wrapPolygon>
            </wp:wrapTight>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160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7598A" w:rsidRPr="00B87B03">
        <w:rPr>
          <w:b/>
          <w:color w:val="1F497D"/>
          <w:u w:val="single"/>
          <w:lang w:val="en-US"/>
        </w:rPr>
        <w:t>A collaborative pilot project</w:t>
      </w:r>
      <w:r w:rsidR="00D7598A">
        <w:rPr>
          <w:lang w:val="en-US"/>
        </w:rPr>
        <w:t xml:space="preserve"> was established </w:t>
      </w:r>
      <w:r w:rsidR="00937D82">
        <w:rPr>
          <w:lang w:val="en-US"/>
        </w:rPr>
        <w:t>in 2011 to prototype a framework that would be required for full interoperability between t</w:t>
      </w:r>
      <w:r w:rsidR="005A0F42">
        <w:rPr>
          <w:lang w:val="en-US"/>
        </w:rPr>
        <w:t>he t</w:t>
      </w:r>
      <w:r w:rsidR="00937D82">
        <w:rPr>
          <w:lang w:val="en-US"/>
        </w:rPr>
        <w:t>wo projects</w:t>
      </w:r>
      <w:r w:rsidR="00046C63">
        <w:rPr>
          <w:lang w:val="en-US"/>
        </w:rPr>
        <w:t xml:space="preserve"> (</w:t>
      </w:r>
      <w:r w:rsidR="00046C63" w:rsidRPr="00B87B03">
        <w:rPr>
          <w:b/>
          <w:color w:val="1F497D"/>
          <w:lang w:val="en-US"/>
        </w:rPr>
        <w:t>Figure</w:t>
      </w:r>
      <w:r w:rsidR="00B6711A" w:rsidRPr="00B87B03">
        <w:rPr>
          <w:b/>
          <w:color w:val="1F497D"/>
          <w:lang w:val="en-US"/>
        </w:rPr>
        <w:t xml:space="preserve"> 3</w:t>
      </w:r>
      <w:r w:rsidR="00B6711A">
        <w:rPr>
          <w:lang w:val="en-US"/>
        </w:rPr>
        <w:t>)</w:t>
      </w:r>
      <w:r w:rsidR="00937D82">
        <w:rPr>
          <w:lang w:val="en-US"/>
        </w:rPr>
        <w:t xml:space="preserve">. </w:t>
      </w:r>
      <w:r w:rsidR="00D67256">
        <w:rPr>
          <w:lang w:val="en-US"/>
        </w:rPr>
        <w:t>The plan was carried out</w:t>
      </w:r>
      <w:r w:rsidR="00D67256" w:rsidRPr="001516A8">
        <w:rPr>
          <w:lang w:val="en-US"/>
        </w:rPr>
        <w:t xml:space="preserve"> in two phases. </w:t>
      </w:r>
      <w:r w:rsidR="005A0F42">
        <w:rPr>
          <w:lang w:val="en-US"/>
        </w:rPr>
        <w:t>In Phase I</w:t>
      </w:r>
      <w:r w:rsidR="00D67256">
        <w:rPr>
          <w:lang w:val="en-US"/>
        </w:rPr>
        <w:t xml:space="preserve">, </w:t>
      </w:r>
      <w:r w:rsidR="00D67256" w:rsidRPr="001516A8">
        <w:rPr>
          <w:lang w:val="en-US"/>
        </w:rPr>
        <w:t>the proof of concept that WeNMR application jobs can effectively</w:t>
      </w:r>
      <w:r w:rsidR="00D67256">
        <w:rPr>
          <w:lang w:val="en-US"/>
        </w:rPr>
        <w:t xml:space="preserve"> run over OSG resources was</w:t>
      </w:r>
      <w:r w:rsidR="00D67256" w:rsidRPr="001516A8">
        <w:rPr>
          <w:lang w:val="en-US"/>
        </w:rPr>
        <w:t xml:space="preserve"> obtained by using EMI/gLite grid services set up in Europe and appositely enabled with the SBGrid VO. </w:t>
      </w:r>
      <w:r w:rsidR="0029632E">
        <w:rPr>
          <w:lang w:val="en-US"/>
        </w:rPr>
        <w:t>In Phase II</w:t>
      </w:r>
      <w:r w:rsidR="005A0F42">
        <w:rPr>
          <w:lang w:val="en-US"/>
        </w:rPr>
        <w:t>,</w:t>
      </w:r>
      <w:r w:rsidR="0029632E">
        <w:rPr>
          <w:lang w:val="en-US"/>
        </w:rPr>
        <w:t xml:space="preserve"> a </w:t>
      </w:r>
      <w:r w:rsidR="00D67256" w:rsidRPr="00516111">
        <w:rPr>
          <w:lang w:val="en-GB"/>
        </w:rPr>
        <w:t>Condor submit node was installed in the same server hosting the</w:t>
      </w:r>
      <w:r w:rsidR="005A0F42">
        <w:rPr>
          <w:lang w:val="en-GB"/>
        </w:rPr>
        <w:t xml:space="preserve"> gLite-UI at INFN-Padova and</w:t>
      </w:r>
      <w:r w:rsidR="00D67256" w:rsidRPr="00516111">
        <w:rPr>
          <w:lang w:val="en-GB"/>
        </w:rPr>
        <w:t xml:space="preserve"> configured to work with the GlideinWMS Frontend node hosted at Harvard Medical School (HMS) in Boston and operated by the SBGrid VO. The Frontend interacts with the Factory node hosted at </w:t>
      </w:r>
      <w:r w:rsidR="005A0F42">
        <w:rPr>
          <w:lang w:val="en-GB"/>
        </w:rPr>
        <w:t xml:space="preserve">the </w:t>
      </w:r>
      <w:r w:rsidR="00D67256" w:rsidRPr="00516111">
        <w:rPr>
          <w:lang w:val="en-GB"/>
        </w:rPr>
        <w:t>University of California, San Diego (UCSD) and operated by OSG. While glideins are submitted by the Factory to the OSG nodes using a</w:t>
      </w:r>
      <w:r w:rsidR="005A0F42">
        <w:rPr>
          <w:lang w:val="en-GB"/>
        </w:rPr>
        <w:t>n</w:t>
      </w:r>
      <w:r w:rsidR="00D67256" w:rsidRPr="00516111">
        <w:rPr>
          <w:lang w:val="en-GB"/>
        </w:rPr>
        <w:t xml:space="preserve"> SBGrid VO proxy, WeNMR jobs can be submitted to the Condor pool using a</w:t>
      </w:r>
      <w:r w:rsidR="005A0F42">
        <w:rPr>
          <w:lang w:val="en-GB"/>
        </w:rPr>
        <w:t>n</w:t>
      </w:r>
      <w:r w:rsidR="00D67256" w:rsidRPr="00516111">
        <w:rPr>
          <w:lang w:val="en-GB"/>
        </w:rPr>
        <w:t xml:space="preserve"> enmr.eu VO proxy, as done when submitting to EGI via the gLi</w:t>
      </w:r>
      <w:r w:rsidR="00374365">
        <w:rPr>
          <w:lang w:val="en-GB"/>
        </w:rPr>
        <w:t xml:space="preserve">te-WMS. </w:t>
      </w:r>
      <w:r w:rsidR="00D67256" w:rsidRPr="00374365">
        <w:rPr>
          <w:lang w:val="en-GB"/>
        </w:rPr>
        <w:t xml:space="preserve">The WeNMR application software was </w:t>
      </w:r>
      <w:r w:rsidR="00374365">
        <w:rPr>
          <w:lang w:val="en-GB"/>
        </w:rPr>
        <w:t xml:space="preserve">subsequently </w:t>
      </w:r>
      <w:r w:rsidR="00D67256" w:rsidRPr="00374365">
        <w:rPr>
          <w:lang w:val="en-GB"/>
        </w:rPr>
        <w:t xml:space="preserve">installed on the OSG CEs </w:t>
      </w:r>
      <w:r w:rsidR="00374365">
        <w:rPr>
          <w:lang w:val="en-GB"/>
        </w:rPr>
        <w:t>and CS-Rosetta jobs were submitted to test the system.</w:t>
      </w:r>
      <w:r w:rsidR="00B6711A">
        <w:rPr>
          <w:lang w:val="en-US"/>
        </w:rPr>
        <w:t xml:space="preserve"> </w:t>
      </w:r>
    </w:p>
    <w:p w:rsidR="00EE382D" w:rsidRPr="00B6711A" w:rsidRDefault="00EE382D" w:rsidP="00EB198C">
      <w:pPr>
        <w:jc w:val="both"/>
        <w:rPr>
          <w:lang w:val="en-US"/>
        </w:rPr>
      </w:pPr>
      <w:r>
        <w:rPr>
          <w:lang w:val="en-US"/>
        </w:rPr>
        <w:t>The current pilot system developed by WeNMR and SBGrid supports grid interoperability while allowing grid operators to control access and utilization. The develop</w:t>
      </w:r>
      <w:r w:rsidR="00931BA9">
        <w:rPr>
          <w:lang w:val="en-US"/>
        </w:rPr>
        <w:t>ed</w:t>
      </w:r>
      <w:r>
        <w:rPr>
          <w:lang w:val="en-US"/>
        </w:rPr>
        <w:t xml:space="preserve"> system can </w:t>
      </w:r>
      <w:r w:rsidR="00931BA9">
        <w:rPr>
          <w:lang w:val="en-US"/>
        </w:rPr>
        <w:t xml:space="preserve">provide </w:t>
      </w:r>
      <w:r w:rsidR="005A0F42">
        <w:rPr>
          <w:lang w:val="en-US"/>
        </w:rPr>
        <w:t>US scientists who utilize the European portal infrastructure with</w:t>
      </w:r>
      <w:r w:rsidR="00931BA9">
        <w:rPr>
          <w:lang w:val="en-US"/>
        </w:rPr>
        <w:t xml:space="preserve"> opportunistic access to</w:t>
      </w:r>
      <w:r>
        <w:rPr>
          <w:lang w:val="en-US"/>
        </w:rPr>
        <w:t xml:space="preserve"> </w:t>
      </w:r>
      <w:r w:rsidR="00931BA9">
        <w:rPr>
          <w:lang w:val="en-US"/>
        </w:rPr>
        <w:t xml:space="preserve">the </w:t>
      </w:r>
      <w:r>
        <w:rPr>
          <w:lang w:val="en-US"/>
        </w:rPr>
        <w:t xml:space="preserve">NSF and DoE </w:t>
      </w:r>
      <w:r w:rsidR="00931BA9">
        <w:rPr>
          <w:lang w:val="en-US"/>
        </w:rPr>
        <w:t>sponsored</w:t>
      </w:r>
      <w:r>
        <w:rPr>
          <w:lang w:val="en-US"/>
        </w:rPr>
        <w:t xml:space="preserve"> computational resources</w:t>
      </w:r>
      <w:r w:rsidR="005A0F42">
        <w:rPr>
          <w:lang w:val="en-US"/>
        </w:rPr>
        <w:t>.</w:t>
      </w:r>
      <w:r>
        <w:rPr>
          <w:lang w:val="en-US"/>
        </w:rPr>
        <w:t xml:space="preserve"> </w:t>
      </w:r>
      <w:r w:rsidR="00A151B6">
        <w:rPr>
          <w:lang w:val="en-US"/>
        </w:rPr>
        <w:t>I</w:t>
      </w:r>
      <w:r w:rsidR="00046C63">
        <w:rPr>
          <w:lang w:val="en-US"/>
        </w:rPr>
        <w:t>nteropera</w:t>
      </w:r>
      <w:r w:rsidR="00EB198C">
        <w:rPr>
          <w:lang w:val="en-US"/>
        </w:rPr>
        <w:t xml:space="preserve">bility and collaboration will be crucial </w:t>
      </w:r>
      <w:r w:rsidR="00A151B6">
        <w:rPr>
          <w:lang w:val="en-US"/>
        </w:rPr>
        <w:t>in the evolving e-Infrastructure landscape, in particular for the long-term sustainability of the services provided: for both side</w:t>
      </w:r>
      <w:r w:rsidR="005A0F42">
        <w:rPr>
          <w:lang w:val="en-US"/>
        </w:rPr>
        <w:t>s</w:t>
      </w:r>
      <w:r w:rsidR="00A151B6">
        <w:rPr>
          <w:lang w:val="en-US"/>
        </w:rPr>
        <w:t>, giving computational access to users outside their respective geographic/political locations (North America, EU) can only be justified provided that a proper mechanism for sharing of resources is in place.</w:t>
      </w:r>
    </w:p>
    <w:p w:rsidR="001331E9" w:rsidRPr="001331E9" w:rsidRDefault="00046C63" w:rsidP="00046C63">
      <w:pPr>
        <w:pStyle w:val="Heading1"/>
        <w:spacing w:after="60"/>
        <w:rPr>
          <w:lang w:val="en-US"/>
        </w:rPr>
      </w:pPr>
      <w:r>
        <w:rPr>
          <w:lang w:val="en-US"/>
        </w:rPr>
        <w:t>Limiting Factors</w:t>
      </w:r>
    </w:p>
    <w:p w:rsidR="00E66A5E" w:rsidRDefault="00E66A5E" w:rsidP="005C55C4">
      <w:pPr>
        <w:spacing w:after="60"/>
        <w:rPr>
          <w:lang w:val="en-US"/>
        </w:rPr>
      </w:pPr>
      <w:r w:rsidRPr="00536EA5">
        <w:rPr>
          <w:lang w:val="en-US"/>
        </w:rPr>
        <w:t xml:space="preserve">Further resources are </w:t>
      </w:r>
      <w:r w:rsidR="00536EA5" w:rsidRPr="00536EA5">
        <w:rPr>
          <w:lang w:val="en-US"/>
        </w:rPr>
        <w:t>required</w:t>
      </w:r>
      <w:r w:rsidRPr="00536EA5">
        <w:rPr>
          <w:lang w:val="en-US"/>
        </w:rPr>
        <w:t xml:space="preserve"> to fully implement the inter</w:t>
      </w:r>
      <w:r w:rsidR="00536EA5">
        <w:rPr>
          <w:lang w:val="en-US"/>
        </w:rPr>
        <w:t>operability between two systems:</w:t>
      </w:r>
      <w:r w:rsidRPr="00536EA5">
        <w:rPr>
          <w:lang w:val="en-US"/>
        </w:rPr>
        <w:t xml:space="preserve"> </w:t>
      </w:r>
    </w:p>
    <w:p w:rsidR="00536EA5" w:rsidRPr="00536EA5" w:rsidRDefault="00536EA5" w:rsidP="00046C63">
      <w:pPr>
        <w:pStyle w:val="ListParagraph"/>
        <w:numPr>
          <w:ilvl w:val="0"/>
          <w:numId w:val="6"/>
        </w:numPr>
        <w:spacing w:after="60"/>
        <w:ind w:left="357" w:hanging="357"/>
        <w:contextualSpacing w:val="0"/>
        <w:jc w:val="both"/>
        <w:rPr>
          <w:lang w:val="en-US"/>
        </w:rPr>
      </w:pPr>
      <w:r w:rsidRPr="00B87B03">
        <w:rPr>
          <w:b/>
          <w:color w:val="1F497D"/>
          <w:lang w:val="en-US"/>
        </w:rPr>
        <w:t xml:space="preserve">A pilot project to submit jobs from </w:t>
      </w:r>
      <w:r w:rsidR="000203DD" w:rsidRPr="00B87B03">
        <w:rPr>
          <w:b/>
          <w:color w:val="1F497D"/>
          <w:lang w:val="en-US"/>
        </w:rPr>
        <w:t>WeNMR to SBGrid/OSG needs to be transitioned to production.</w:t>
      </w:r>
      <w:r w:rsidR="000203DD">
        <w:rPr>
          <w:lang w:val="en-US"/>
        </w:rPr>
        <w:t xml:space="preserve"> This</w:t>
      </w:r>
      <w:r w:rsidR="00B87B03">
        <w:rPr>
          <w:lang w:val="en-US"/>
        </w:rPr>
        <w:t xml:space="preserve"> project</w:t>
      </w:r>
      <w:r w:rsidR="000203DD">
        <w:rPr>
          <w:lang w:val="en-US"/>
        </w:rPr>
        <w:t xml:space="preserve"> will require </w:t>
      </w:r>
      <w:r w:rsidR="00B87B03">
        <w:rPr>
          <w:lang w:val="en-US"/>
        </w:rPr>
        <w:t xml:space="preserve">significant work to adapt </w:t>
      </w:r>
      <w:r w:rsidR="000203DD">
        <w:rPr>
          <w:lang w:val="en-US"/>
        </w:rPr>
        <w:t>the job management scripts lying behind the WeNMR portals</w:t>
      </w:r>
      <w:r w:rsidR="00B87B03">
        <w:rPr>
          <w:lang w:val="en-US"/>
        </w:rPr>
        <w:t>,</w:t>
      </w:r>
      <w:r w:rsidR="000203DD">
        <w:rPr>
          <w:lang w:val="en-US"/>
        </w:rPr>
        <w:t xml:space="preserve"> developed in the past according to the EMI/gLite environment</w:t>
      </w:r>
      <w:r w:rsidR="00B87B03">
        <w:rPr>
          <w:lang w:val="en-US"/>
        </w:rPr>
        <w:t>,</w:t>
      </w:r>
      <w:r w:rsidR="000203DD">
        <w:rPr>
          <w:lang w:val="en-US"/>
        </w:rPr>
        <w:t xml:space="preserve"> to the new Condor environment, or alternatively</w:t>
      </w:r>
      <w:r w:rsidR="00B87B03">
        <w:rPr>
          <w:lang w:val="en-US"/>
        </w:rPr>
        <w:t>,</w:t>
      </w:r>
      <w:r w:rsidR="000203DD">
        <w:rPr>
          <w:lang w:val="en-US"/>
        </w:rPr>
        <w:t xml:space="preserve"> to implement a SAGA layer to decouple the application level from the underlying middleware stack.</w:t>
      </w:r>
    </w:p>
    <w:p w:rsidR="00536EA5" w:rsidRPr="00B87B03" w:rsidRDefault="00536EA5" w:rsidP="00046C63">
      <w:pPr>
        <w:pStyle w:val="ListParagraph"/>
        <w:numPr>
          <w:ilvl w:val="0"/>
          <w:numId w:val="6"/>
        </w:numPr>
        <w:spacing w:after="60"/>
        <w:ind w:left="357" w:hanging="357"/>
        <w:contextualSpacing w:val="0"/>
        <w:jc w:val="both"/>
        <w:rPr>
          <w:b/>
          <w:color w:val="1F497D"/>
          <w:lang w:val="en-US"/>
        </w:rPr>
      </w:pPr>
      <w:r w:rsidRPr="00B87B03">
        <w:rPr>
          <w:b/>
          <w:color w:val="1F497D"/>
          <w:lang w:val="en-US"/>
        </w:rPr>
        <w:t>A reciprocal system a</w:t>
      </w:r>
      <w:r w:rsidR="000203DD" w:rsidRPr="00B87B03">
        <w:rPr>
          <w:b/>
          <w:color w:val="1F497D"/>
          <w:lang w:val="en-US"/>
        </w:rPr>
        <w:t xml:space="preserve">llowing submission of SBGrid jobs to EGI needs to be developed and </w:t>
      </w:r>
      <w:r w:rsidR="000A1D4A" w:rsidRPr="00B87B03">
        <w:rPr>
          <w:b/>
          <w:color w:val="1F497D"/>
          <w:lang w:val="en-US"/>
        </w:rPr>
        <w:t>implemented</w:t>
      </w:r>
      <w:r w:rsidR="000203DD" w:rsidRPr="00B87B03">
        <w:rPr>
          <w:b/>
          <w:color w:val="1F497D"/>
          <w:lang w:val="en-US"/>
        </w:rPr>
        <w:t>.</w:t>
      </w:r>
    </w:p>
    <w:p w:rsidR="00CE4363" w:rsidRPr="00990B72" w:rsidRDefault="000203DD" w:rsidP="00046C63">
      <w:pPr>
        <w:pStyle w:val="ListParagraph"/>
        <w:numPr>
          <w:ilvl w:val="0"/>
          <w:numId w:val="6"/>
        </w:numPr>
        <w:spacing w:after="60"/>
        <w:ind w:left="357" w:hanging="357"/>
        <w:contextualSpacing w:val="0"/>
        <w:jc w:val="both"/>
        <w:rPr>
          <w:lang w:val="en-US"/>
        </w:rPr>
      </w:pPr>
      <w:r w:rsidRPr="00B87B03">
        <w:rPr>
          <w:b/>
          <w:color w:val="1F497D"/>
          <w:lang w:val="en-US"/>
        </w:rPr>
        <w:t>A more flexible job/CPU accounting system will need to be put in place.</w:t>
      </w:r>
      <w:r>
        <w:rPr>
          <w:lang w:val="en-US"/>
        </w:rPr>
        <w:t xml:space="preserve"> This </w:t>
      </w:r>
      <w:r w:rsidR="00B87B03">
        <w:rPr>
          <w:lang w:val="en-US"/>
        </w:rPr>
        <w:t xml:space="preserve">system </w:t>
      </w:r>
      <w:r w:rsidR="000A1D4A">
        <w:rPr>
          <w:lang w:val="en-US"/>
        </w:rPr>
        <w:t xml:space="preserve">will provide a basis for </w:t>
      </w:r>
      <w:r>
        <w:rPr>
          <w:lang w:val="en-US"/>
        </w:rPr>
        <w:t xml:space="preserve">load </w:t>
      </w:r>
      <w:r w:rsidR="000A1D4A">
        <w:rPr>
          <w:lang w:val="en-US"/>
        </w:rPr>
        <w:t xml:space="preserve">balancing between two VOs based on cumulative usage rather than dispatching individual computations (e.g. WeNMR </w:t>
      </w:r>
      <w:r w:rsidR="00990B72">
        <w:rPr>
          <w:lang w:val="en-US"/>
        </w:rPr>
        <w:t>VO</w:t>
      </w:r>
      <w:r w:rsidR="000A1D4A">
        <w:rPr>
          <w:lang w:val="en-US"/>
        </w:rPr>
        <w:t xml:space="preserve"> will count </w:t>
      </w:r>
      <w:r w:rsidR="00990B72">
        <w:rPr>
          <w:lang w:val="en-US"/>
        </w:rPr>
        <w:t xml:space="preserve">the </w:t>
      </w:r>
      <w:r w:rsidR="000A1D4A">
        <w:rPr>
          <w:lang w:val="en-US"/>
        </w:rPr>
        <w:t xml:space="preserve">total number of CPU-hours dedicated to </w:t>
      </w:r>
      <w:r w:rsidR="00990B72">
        <w:rPr>
          <w:lang w:val="en-US"/>
        </w:rPr>
        <w:t xml:space="preserve">support of US research laboratories, whether those jobs are computed on EGI or OSG resources, and then “claim” those hours from OSG when </w:t>
      </w:r>
      <w:r w:rsidR="00D97B5F">
        <w:rPr>
          <w:lang w:val="en-US"/>
        </w:rPr>
        <w:t xml:space="preserve">an </w:t>
      </w:r>
      <w:r w:rsidR="00990B72">
        <w:rPr>
          <w:lang w:val="en-US"/>
        </w:rPr>
        <w:t>EGI resource contention develops</w:t>
      </w:r>
      <w:r w:rsidR="00B87B03">
        <w:rPr>
          <w:lang w:val="en-US"/>
        </w:rPr>
        <w:t>)</w:t>
      </w:r>
      <w:r w:rsidR="00990B72">
        <w:rPr>
          <w:lang w:val="en-US"/>
        </w:rPr>
        <w:t>.</w:t>
      </w:r>
    </w:p>
    <w:sectPr w:rsidR="00CE4363" w:rsidRPr="00990B72" w:rsidSect="005C55C4">
      <w:pgSz w:w="11894" w:h="16834"/>
      <w:pgMar w:top="737" w:right="1152" w:bottom="720" w:left="1152"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332"/>
    <w:multiLevelType w:val="hybridMultilevel"/>
    <w:tmpl w:val="437EB694"/>
    <w:lvl w:ilvl="0" w:tplc="0410000F">
      <w:start w:val="1"/>
      <w:numFmt w:val="decimal"/>
      <w:lvlText w:val="%1."/>
      <w:lvlJc w:val="left"/>
      <w:pPr>
        <w:ind w:left="1202" w:hanging="360"/>
      </w:pPr>
    </w:lvl>
    <w:lvl w:ilvl="1" w:tplc="04100019" w:tentative="1">
      <w:start w:val="1"/>
      <w:numFmt w:val="lowerLetter"/>
      <w:lvlText w:val="%2."/>
      <w:lvlJc w:val="left"/>
      <w:pPr>
        <w:ind w:left="1922" w:hanging="360"/>
      </w:pPr>
    </w:lvl>
    <w:lvl w:ilvl="2" w:tplc="0410001B" w:tentative="1">
      <w:start w:val="1"/>
      <w:numFmt w:val="lowerRoman"/>
      <w:lvlText w:val="%3."/>
      <w:lvlJc w:val="right"/>
      <w:pPr>
        <w:ind w:left="2642" w:hanging="180"/>
      </w:pPr>
    </w:lvl>
    <w:lvl w:ilvl="3" w:tplc="0410000F" w:tentative="1">
      <w:start w:val="1"/>
      <w:numFmt w:val="decimal"/>
      <w:lvlText w:val="%4."/>
      <w:lvlJc w:val="left"/>
      <w:pPr>
        <w:ind w:left="3362" w:hanging="360"/>
      </w:pPr>
    </w:lvl>
    <w:lvl w:ilvl="4" w:tplc="04100019" w:tentative="1">
      <w:start w:val="1"/>
      <w:numFmt w:val="lowerLetter"/>
      <w:lvlText w:val="%5."/>
      <w:lvlJc w:val="left"/>
      <w:pPr>
        <w:ind w:left="4082" w:hanging="360"/>
      </w:pPr>
    </w:lvl>
    <w:lvl w:ilvl="5" w:tplc="0410001B" w:tentative="1">
      <w:start w:val="1"/>
      <w:numFmt w:val="lowerRoman"/>
      <w:lvlText w:val="%6."/>
      <w:lvlJc w:val="right"/>
      <w:pPr>
        <w:ind w:left="4802" w:hanging="180"/>
      </w:pPr>
    </w:lvl>
    <w:lvl w:ilvl="6" w:tplc="0410000F" w:tentative="1">
      <w:start w:val="1"/>
      <w:numFmt w:val="decimal"/>
      <w:lvlText w:val="%7."/>
      <w:lvlJc w:val="left"/>
      <w:pPr>
        <w:ind w:left="5522" w:hanging="360"/>
      </w:pPr>
    </w:lvl>
    <w:lvl w:ilvl="7" w:tplc="04100019" w:tentative="1">
      <w:start w:val="1"/>
      <w:numFmt w:val="lowerLetter"/>
      <w:lvlText w:val="%8."/>
      <w:lvlJc w:val="left"/>
      <w:pPr>
        <w:ind w:left="6242" w:hanging="360"/>
      </w:pPr>
    </w:lvl>
    <w:lvl w:ilvl="8" w:tplc="0410001B" w:tentative="1">
      <w:start w:val="1"/>
      <w:numFmt w:val="lowerRoman"/>
      <w:lvlText w:val="%9."/>
      <w:lvlJc w:val="right"/>
      <w:pPr>
        <w:ind w:left="6962" w:hanging="180"/>
      </w:pPr>
    </w:lvl>
  </w:abstractNum>
  <w:abstractNum w:abstractNumId="1">
    <w:nsid w:val="133765C0"/>
    <w:multiLevelType w:val="hybridMultilevel"/>
    <w:tmpl w:val="74AEBD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8045101"/>
    <w:multiLevelType w:val="hybridMultilevel"/>
    <w:tmpl w:val="8DC68D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9F674E5"/>
    <w:multiLevelType w:val="hybridMultilevel"/>
    <w:tmpl w:val="F4480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03A0C44"/>
    <w:multiLevelType w:val="hybridMultilevel"/>
    <w:tmpl w:val="84669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97F0A63"/>
    <w:multiLevelType w:val="hybridMultilevel"/>
    <w:tmpl w:val="317E17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02"/>
    <w:rsid w:val="000141FB"/>
    <w:rsid w:val="000203DD"/>
    <w:rsid w:val="00037D50"/>
    <w:rsid w:val="00046C63"/>
    <w:rsid w:val="00094FE0"/>
    <w:rsid w:val="000A1D4A"/>
    <w:rsid w:val="000C6513"/>
    <w:rsid w:val="000F29B7"/>
    <w:rsid w:val="001331E9"/>
    <w:rsid w:val="00143AC0"/>
    <w:rsid w:val="00143CCD"/>
    <w:rsid w:val="001465B0"/>
    <w:rsid w:val="001516A8"/>
    <w:rsid w:val="00183365"/>
    <w:rsid w:val="00253B9F"/>
    <w:rsid w:val="0029632E"/>
    <w:rsid w:val="002B675C"/>
    <w:rsid w:val="00333F42"/>
    <w:rsid w:val="0036326F"/>
    <w:rsid w:val="00374365"/>
    <w:rsid w:val="003931DF"/>
    <w:rsid w:val="003A1C89"/>
    <w:rsid w:val="003D15EC"/>
    <w:rsid w:val="003E2649"/>
    <w:rsid w:val="00404AC5"/>
    <w:rsid w:val="004367C1"/>
    <w:rsid w:val="00442840"/>
    <w:rsid w:val="004A0F3F"/>
    <w:rsid w:val="004C6A41"/>
    <w:rsid w:val="004D002D"/>
    <w:rsid w:val="004D2AD6"/>
    <w:rsid w:val="004E2098"/>
    <w:rsid w:val="00516111"/>
    <w:rsid w:val="00536EA5"/>
    <w:rsid w:val="005839EB"/>
    <w:rsid w:val="005905CB"/>
    <w:rsid w:val="005A0F42"/>
    <w:rsid w:val="005A567B"/>
    <w:rsid w:val="005B409A"/>
    <w:rsid w:val="005B441D"/>
    <w:rsid w:val="005C55C4"/>
    <w:rsid w:val="00607F42"/>
    <w:rsid w:val="006114B6"/>
    <w:rsid w:val="00671C30"/>
    <w:rsid w:val="00680DFC"/>
    <w:rsid w:val="006942F4"/>
    <w:rsid w:val="006A1220"/>
    <w:rsid w:val="006B0A34"/>
    <w:rsid w:val="006E0878"/>
    <w:rsid w:val="00725823"/>
    <w:rsid w:val="007520C5"/>
    <w:rsid w:val="00753348"/>
    <w:rsid w:val="007610A6"/>
    <w:rsid w:val="00791E52"/>
    <w:rsid w:val="007A2089"/>
    <w:rsid w:val="008221BD"/>
    <w:rsid w:val="00875B8D"/>
    <w:rsid w:val="008C1682"/>
    <w:rsid w:val="008D0602"/>
    <w:rsid w:val="00931BA9"/>
    <w:rsid w:val="00937D82"/>
    <w:rsid w:val="0095290C"/>
    <w:rsid w:val="00990B72"/>
    <w:rsid w:val="009931AD"/>
    <w:rsid w:val="00A151B6"/>
    <w:rsid w:val="00A33489"/>
    <w:rsid w:val="00A34C4A"/>
    <w:rsid w:val="00A532E1"/>
    <w:rsid w:val="00A6074A"/>
    <w:rsid w:val="00A76DA1"/>
    <w:rsid w:val="00A912E6"/>
    <w:rsid w:val="00AC27C5"/>
    <w:rsid w:val="00AC44A4"/>
    <w:rsid w:val="00B1107A"/>
    <w:rsid w:val="00B15002"/>
    <w:rsid w:val="00B43E1F"/>
    <w:rsid w:val="00B440CA"/>
    <w:rsid w:val="00B6711A"/>
    <w:rsid w:val="00B86A9A"/>
    <w:rsid w:val="00B87B03"/>
    <w:rsid w:val="00C00FDB"/>
    <w:rsid w:val="00C55CE8"/>
    <w:rsid w:val="00CE4363"/>
    <w:rsid w:val="00D37E37"/>
    <w:rsid w:val="00D44010"/>
    <w:rsid w:val="00D67256"/>
    <w:rsid w:val="00D7598A"/>
    <w:rsid w:val="00D85B51"/>
    <w:rsid w:val="00D90C6C"/>
    <w:rsid w:val="00D97B5F"/>
    <w:rsid w:val="00DB54C9"/>
    <w:rsid w:val="00DD7D7E"/>
    <w:rsid w:val="00DE0E25"/>
    <w:rsid w:val="00E364D4"/>
    <w:rsid w:val="00E40E25"/>
    <w:rsid w:val="00E66A5E"/>
    <w:rsid w:val="00E67572"/>
    <w:rsid w:val="00EB198C"/>
    <w:rsid w:val="00EE382D"/>
    <w:rsid w:val="00F84DDB"/>
    <w:rsid w:val="00FA2258"/>
    <w:rsid w:val="00FF7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A4"/>
    <w:pPr>
      <w:spacing w:after="100"/>
    </w:pPr>
    <w:rPr>
      <w:szCs w:val="22"/>
      <w:lang w:val="it-IT"/>
    </w:rPr>
  </w:style>
  <w:style w:type="paragraph" w:styleId="Heading1">
    <w:name w:val="heading 1"/>
    <w:basedOn w:val="Normal"/>
    <w:next w:val="Normal"/>
    <w:link w:val="Heading1Char"/>
    <w:uiPriority w:val="9"/>
    <w:qFormat/>
    <w:rsid w:val="006114B6"/>
    <w:pPr>
      <w:keepNext/>
      <w:keepLines/>
      <w:spacing w:before="240" w:after="120"/>
      <w:outlineLvl w:val="0"/>
    </w:pPr>
    <w:rPr>
      <w:rFonts w:ascii="Cambria" w:eastAsia="ＭＳ ゴシック" w:hAnsi="Cambria"/>
      <w:b/>
      <w:bCs/>
      <w:color w:val="365F91"/>
      <w:sz w:val="24"/>
      <w:szCs w:val="28"/>
    </w:rPr>
  </w:style>
  <w:style w:type="paragraph" w:styleId="Heading2">
    <w:name w:val="heading 2"/>
    <w:basedOn w:val="Normal"/>
    <w:next w:val="Normal"/>
    <w:link w:val="Heading2Char"/>
    <w:uiPriority w:val="9"/>
    <w:unhideWhenUsed/>
    <w:qFormat/>
    <w:rsid w:val="00B15002"/>
    <w:pPr>
      <w:keepNext/>
      <w:keepLines/>
      <w:spacing w:before="200" w:after="0"/>
      <w:outlineLvl w:val="1"/>
    </w:pPr>
    <w:rPr>
      <w:rFonts w:ascii="Cambria" w:eastAsia="ＭＳ ゴシック"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5002"/>
    <w:pPr>
      <w:pBdr>
        <w:bottom w:val="single" w:sz="8" w:space="4" w:color="4F81BD"/>
      </w:pBdr>
      <w:spacing w:after="300"/>
      <w:contextualSpacing/>
    </w:pPr>
    <w:rPr>
      <w:rFonts w:ascii="Cambria" w:eastAsia="ＭＳ ゴシック" w:hAnsi="Cambria"/>
      <w:color w:val="17365D"/>
      <w:spacing w:val="5"/>
      <w:kern w:val="28"/>
      <w:sz w:val="52"/>
      <w:szCs w:val="52"/>
    </w:rPr>
  </w:style>
  <w:style w:type="character" w:customStyle="1" w:styleId="TitleChar">
    <w:name w:val="Title Char"/>
    <w:link w:val="Title"/>
    <w:uiPriority w:val="10"/>
    <w:rsid w:val="00B15002"/>
    <w:rPr>
      <w:rFonts w:ascii="Cambria" w:eastAsia="ＭＳ ゴシック" w:hAnsi="Cambria" w:cs="Times New Roman"/>
      <w:color w:val="17365D"/>
      <w:spacing w:val="5"/>
      <w:kern w:val="28"/>
      <w:sz w:val="52"/>
      <w:szCs w:val="52"/>
    </w:rPr>
  </w:style>
  <w:style w:type="character" w:styleId="Hyperlink">
    <w:name w:val="Hyperlink"/>
    <w:uiPriority w:val="99"/>
    <w:unhideWhenUsed/>
    <w:rsid w:val="00B15002"/>
    <w:rPr>
      <w:color w:val="0000FF"/>
      <w:u w:val="single"/>
    </w:rPr>
  </w:style>
  <w:style w:type="character" w:customStyle="1" w:styleId="Heading1Char">
    <w:name w:val="Heading 1 Char"/>
    <w:link w:val="Heading1"/>
    <w:uiPriority w:val="9"/>
    <w:rsid w:val="006114B6"/>
    <w:rPr>
      <w:rFonts w:ascii="Cambria" w:eastAsia="ＭＳ ゴシック" w:hAnsi="Cambria" w:cs="Times New Roman"/>
      <w:b/>
      <w:bCs/>
      <w:color w:val="365F91"/>
      <w:sz w:val="24"/>
      <w:szCs w:val="28"/>
    </w:rPr>
  </w:style>
  <w:style w:type="character" w:customStyle="1" w:styleId="Heading2Char">
    <w:name w:val="Heading 2 Char"/>
    <w:link w:val="Heading2"/>
    <w:uiPriority w:val="9"/>
    <w:rsid w:val="00B15002"/>
    <w:rPr>
      <w:rFonts w:ascii="Cambria" w:eastAsia="ＭＳ ゴシック" w:hAnsi="Cambria" w:cs="Times New Roman"/>
      <w:b/>
      <w:bCs/>
      <w:color w:val="4F81BD"/>
      <w:sz w:val="26"/>
      <w:szCs w:val="26"/>
    </w:rPr>
  </w:style>
  <w:style w:type="paragraph" w:styleId="BalloonText">
    <w:name w:val="Balloon Text"/>
    <w:basedOn w:val="Normal"/>
    <w:link w:val="BalloonTextChar"/>
    <w:uiPriority w:val="99"/>
    <w:semiHidden/>
    <w:unhideWhenUsed/>
    <w:rsid w:val="00253B9F"/>
    <w:pPr>
      <w:spacing w:after="0"/>
    </w:pPr>
    <w:rPr>
      <w:rFonts w:ascii="Tahoma" w:hAnsi="Tahoma" w:cs="Tahoma"/>
      <w:sz w:val="16"/>
      <w:szCs w:val="16"/>
    </w:rPr>
  </w:style>
  <w:style w:type="character" w:customStyle="1" w:styleId="BalloonTextChar">
    <w:name w:val="Balloon Text Char"/>
    <w:link w:val="BalloonText"/>
    <w:uiPriority w:val="99"/>
    <w:semiHidden/>
    <w:rsid w:val="00253B9F"/>
    <w:rPr>
      <w:rFonts w:ascii="Tahoma" w:hAnsi="Tahoma" w:cs="Tahoma"/>
      <w:sz w:val="16"/>
      <w:szCs w:val="16"/>
    </w:rPr>
  </w:style>
  <w:style w:type="paragraph" w:styleId="ListParagraph">
    <w:name w:val="List Paragraph"/>
    <w:basedOn w:val="Normal"/>
    <w:uiPriority w:val="34"/>
    <w:qFormat/>
    <w:rsid w:val="00516111"/>
    <w:pPr>
      <w:ind w:left="720"/>
      <w:contextualSpacing/>
    </w:pPr>
  </w:style>
  <w:style w:type="character" w:styleId="FollowedHyperlink">
    <w:name w:val="FollowedHyperlink"/>
    <w:uiPriority w:val="99"/>
    <w:semiHidden/>
    <w:unhideWhenUsed/>
    <w:rsid w:val="00A33489"/>
    <w:rPr>
      <w:color w:val="800080"/>
      <w:u w:val="single"/>
    </w:rPr>
  </w:style>
  <w:style w:type="paragraph" w:styleId="Caption">
    <w:name w:val="caption"/>
    <w:basedOn w:val="Normal"/>
    <w:next w:val="Normal"/>
    <w:uiPriority w:val="35"/>
    <w:unhideWhenUsed/>
    <w:qFormat/>
    <w:rsid w:val="00B6711A"/>
    <w:pPr>
      <w:spacing w:after="200"/>
    </w:pPr>
    <w:rPr>
      <w:b/>
      <w:bCs/>
      <w:color w:val="4F81BD"/>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A4"/>
    <w:pPr>
      <w:spacing w:after="100"/>
    </w:pPr>
    <w:rPr>
      <w:szCs w:val="22"/>
      <w:lang w:val="it-IT"/>
    </w:rPr>
  </w:style>
  <w:style w:type="paragraph" w:styleId="Heading1">
    <w:name w:val="heading 1"/>
    <w:basedOn w:val="Normal"/>
    <w:next w:val="Normal"/>
    <w:link w:val="Heading1Char"/>
    <w:uiPriority w:val="9"/>
    <w:qFormat/>
    <w:rsid w:val="006114B6"/>
    <w:pPr>
      <w:keepNext/>
      <w:keepLines/>
      <w:spacing w:before="240" w:after="120"/>
      <w:outlineLvl w:val="0"/>
    </w:pPr>
    <w:rPr>
      <w:rFonts w:ascii="Cambria" w:eastAsia="ＭＳ ゴシック" w:hAnsi="Cambria"/>
      <w:b/>
      <w:bCs/>
      <w:color w:val="365F91"/>
      <w:sz w:val="24"/>
      <w:szCs w:val="28"/>
    </w:rPr>
  </w:style>
  <w:style w:type="paragraph" w:styleId="Heading2">
    <w:name w:val="heading 2"/>
    <w:basedOn w:val="Normal"/>
    <w:next w:val="Normal"/>
    <w:link w:val="Heading2Char"/>
    <w:uiPriority w:val="9"/>
    <w:unhideWhenUsed/>
    <w:qFormat/>
    <w:rsid w:val="00B15002"/>
    <w:pPr>
      <w:keepNext/>
      <w:keepLines/>
      <w:spacing w:before="200" w:after="0"/>
      <w:outlineLvl w:val="1"/>
    </w:pPr>
    <w:rPr>
      <w:rFonts w:ascii="Cambria" w:eastAsia="ＭＳ ゴシック"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5002"/>
    <w:pPr>
      <w:pBdr>
        <w:bottom w:val="single" w:sz="8" w:space="4" w:color="4F81BD"/>
      </w:pBdr>
      <w:spacing w:after="300"/>
      <w:contextualSpacing/>
    </w:pPr>
    <w:rPr>
      <w:rFonts w:ascii="Cambria" w:eastAsia="ＭＳ ゴシック" w:hAnsi="Cambria"/>
      <w:color w:val="17365D"/>
      <w:spacing w:val="5"/>
      <w:kern w:val="28"/>
      <w:sz w:val="52"/>
      <w:szCs w:val="52"/>
    </w:rPr>
  </w:style>
  <w:style w:type="character" w:customStyle="1" w:styleId="TitleChar">
    <w:name w:val="Title Char"/>
    <w:link w:val="Title"/>
    <w:uiPriority w:val="10"/>
    <w:rsid w:val="00B15002"/>
    <w:rPr>
      <w:rFonts w:ascii="Cambria" w:eastAsia="ＭＳ ゴシック" w:hAnsi="Cambria" w:cs="Times New Roman"/>
      <w:color w:val="17365D"/>
      <w:spacing w:val="5"/>
      <w:kern w:val="28"/>
      <w:sz w:val="52"/>
      <w:szCs w:val="52"/>
    </w:rPr>
  </w:style>
  <w:style w:type="character" w:styleId="Hyperlink">
    <w:name w:val="Hyperlink"/>
    <w:uiPriority w:val="99"/>
    <w:unhideWhenUsed/>
    <w:rsid w:val="00B15002"/>
    <w:rPr>
      <w:color w:val="0000FF"/>
      <w:u w:val="single"/>
    </w:rPr>
  </w:style>
  <w:style w:type="character" w:customStyle="1" w:styleId="Heading1Char">
    <w:name w:val="Heading 1 Char"/>
    <w:link w:val="Heading1"/>
    <w:uiPriority w:val="9"/>
    <w:rsid w:val="006114B6"/>
    <w:rPr>
      <w:rFonts w:ascii="Cambria" w:eastAsia="ＭＳ ゴシック" w:hAnsi="Cambria" w:cs="Times New Roman"/>
      <w:b/>
      <w:bCs/>
      <w:color w:val="365F91"/>
      <w:sz w:val="24"/>
      <w:szCs w:val="28"/>
    </w:rPr>
  </w:style>
  <w:style w:type="character" w:customStyle="1" w:styleId="Heading2Char">
    <w:name w:val="Heading 2 Char"/>
    <w:link w:val="Heading2"/>
    <w:uiPriority w:val="9"/>
    <w:rsid w:val="00B15002"/>
    <w:rPr>
      <w:rFonts w:ascii="Cambria" w:eastAsia="ＭＳ ゴシック" w:hAnsi="Cambria" w:cs="Times New Roman"/>
      <w:b/>
      <w:bCs/>
      <w:color w:val="4F81BD"/>
      <w:sz w:val="26"/>
      <w:szCs w:val="26"/>
    </w:rPr>
  </w:style>
  <w:style w:type="paragraph" w:styleId="BalloonText">
    <w:name w:val="Balloon Text"/>
    <w:basedOn w:val="Normal"/>
    <w:link w:val="BalloonTextChar"/>
    <w:uiPriority w:val="99"/>
    <w:semiHidden/>
    <w:unhideWhenUsed/>
    <w:rsid w:val="00253B9F"/>
    <w:pPr>
      <w:spacing w:after="0"/>
    </w:pPr>
    <w:rPr>
      <w:rFonts w:ascii="Tahoma" w:hAnsi="Tahoma" w:cs="Tahoma"/>
      <w:sz w:val="16"/>
      <w:szCs w:val="16"/>
    </w:rPr>
  </w:style>
  <w:style w:type="character" w:customStyle="1" w:styleId="BalloonTextChar">
    <w:name w:val="Balloon Text Char"/>
    <w:link w:val="BalloonText"/>
    <w:uiPriority w:val="99"/>
    <w:semiHidden/>
    <w:rsid w:val="00253B9F"/>
    <w:rPr>
      <w:rFonts w:ascii="Tahoma" w:hAnsi="Tahoma" w:cs="Tahoma"/>
      <w:sz w:val="16"/>
      <w:szCs w:val="16"/>
    </w:rPr>
  </w:style>
  <w:style w:type="paragraph" w:styleId="ListParagraph">
    <w:name w:val="List Paragraph"/>
    <w:basedOn w:val="Normal"/>
    <w:uiPriority w:val="34"/>
    <w:qFormat/>
    <w:rsid w:val="00516111"/>
    <w:pPr>
      <w:ind w:left="720"/>
      <w:contextualSpacing/>
    </w:pPr>
  </w:style>
  <w:style w:type="character" w:styleId="FollowedHyperlink">
    <w:name w:val="FollowedHyperlink"/>
    <w:uiPriority w:val="99"/>
    <w:semiHidden/>
    <w:unhideWhenUsed/>
    <w:rsid w:val="00A33489"/>
    <w:rPr>
      <w:color w:val="800080"/>
      <w:u w:val="single"/>
    </w:rPr>
  </w:style>
  <w:style w:type="paragraph" w:styleId="Caption">
    <w:name w:val="caption"/>
    <w:basedOn w:val="Normal"/>
    <w:next w:val="Normal"/>
    <w:uiPriority w:val="35"/>
    <w:unhideWhenUsed/>
    <w:qFormat/>
    <w:rsid w:val="00B6711A"/>
    <w:pPr>
      <w:spacing w:after="200"/>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873717">
      <w:bodyDiv w:val="1"/>
      <w:marLeft w:val="0"/>
      <w:marRight w:val="0"/>
      <w:marTop w:val="0"/>
      <w:marBottom w:val="0"/>
      <w:divBdr>
        <w:top w:val="none" w:sz="0" w:space="0" w:color="auto"/>
        <w:left w:val="none" w:sz="0" w:space="0" w:color="auto"/>
        <w:bottom w:val="none" w:sz="0" w:space="0" w:color="auto"/>
        <w:right w:val="none" w:sz="0" w:space="0" w:color="auto"/>
      </w:divBdr>
    </w:div>
    <w:div w:id="130161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gi.eu/" TargetMode="External"/><Relationship Id="rId7" Type="http://schemas.openxmlformats.org/officeDocument/2006/relationships/hyperlink" Target="http://pos.sissa.it/archive/conferences/162/040/EGICF12-EMITC2_040.pdf"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1389</Words>
  <Characters>7920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INFN</Company>
  <LinksUpToDate>false</LinksUpToDate>
  <CharactersWithSpaces>9291</CharactersWithSpaces>
  <SharedDoc>false</SharedDoc>
  <HLinks>
    <vt:vector size="12" baseType="variant">
      <vt:variant>
        <vt:i4>3407886</vt:i4>
      </vt:variant>
      <vt:variant>
        <vt:i4>3</vt:i4>
      </vt:variant>
      <vt:variant>
        <vt:i4>0</vt:i4>
      </vt:variant>
      <vt:variant>
        <vt:i4>5</vt:i4>
      </vt:variant>
      <vt:variant>
        <vt:lpwstr>http://pos.sissa.it/archive/conferences/162/040/EGICF12-EMITC2_040.pdf</vt:lpwstr>
      </vt:variant>
      <vt:variant>
        <vt:lpwstr/>
      </vt:variant>
      <vt:variant>
        <vt:i4>7143532</vt:i4>
      </vt:variant>
      <vt:variant>
        <vt:i4>0</vt:i4>
      </vt:variant>
      <vt:variant>
        <vt:i4>0</vt:i4>
      </vt:variant>
      <vt:variant>
        <vt:i4>5</vt:i4>
      </vt:variant>
      <vt:variant>
        <vt:lpwstr>http://www.egi.eu/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verlato</dc:creator>
  <cp:keywords/>
  <cp:lastModifiedBy>Bonvin Alexandre M.J.J.</cp:lastModifiedBy>
  <cp:revision>2</cp:revision>
  <cp:lastPrinted>2013-03-05T09:23:00Z</cp:lastPrinted>
  <dcterms:created xsi:type="dcterms:W3CDTF">2013-03-06T21:10:00Z</dcterms:created>
  <dcterms:modified xsi:type="dcterms:W3CDTF">2013-03-06T21:10:00Z</dcterms:modified>
</cp:coreProperties>
</file>