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CB664" w14:textId="443F1090" w:rsidR="00A4093C" w:rsidRPr="008B0DF6" w:rsidRDefault="00633835" w:rsidP="008B0DF6">
      <w:pPr>
        <w:jc w:val="center"/>
        <w:rPr>
          <w:rFonts w:ascii="Arial" w:hAnsi="Arial" w:cs="Arial"/>
          <w:sz w:val="32"/>
          <w:szCs w:val="32"/>
        </w:rPr>
      </w:pPr>
      <w:r w:rsidRPr="00633835">
        <w:rPr>
          <w:rFonts w:ascii="Arial" w:hAnsi="Arial" w:cs="Arial"/>
          <w:sz w:val="32"/>
          <w:szCs w:val="32"/>
        </w:rPr>
        <w:t>Security</w:t>
      </w:r>
      <w:r w:rsidR="00575B1D">
        <w:rPr>
          <w:rFonts w:ascii="Arial" w:hAnsi="Arial" w:cs="Arial"/>
          <w:sz w:val="32"/>
          <w:szCs w:val="32"/>
        </w:rPr>
        <w:t xml:space="preserve"> Coordination</w:t>
      </w:r>
      <w:r w:rsidRPr="00633835">
        <w:rPr>
          <w:rFonts w:ascii="Arial" w:hAnsi="Arial" w:cs="Arial"/>
          <w:sz w:val="32"/>
          <w:szCs w:val="32"/>
        </w:rPr>
        <w:t xml:space="preserve"> Group (SCG)</w:t>
      </w:r>
    </w:p>
    <w:tbl>
      <w:tblPr>
        <w:tblStyle w:val="TableGrid"/>
        <w:tblpPr w:leftFromText="180" w:rightFromText="180" w:vertAnchor="text" w:horzAnchor="page" w:tblpX="1526" w:tblpY="7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6252"/>
      </w:tblGrid>
      <w:tr w:rsidR="008B0DF6" w14:paraId="627AAEAA" w14:textId="77777777" w:rsidTr="004318C6">
        <w:tc>
          <w:tcPr>
            <w:tcW w:w="3590" w:type="dxa"/>
            <w:tcBorders>
              <w:top w:val="single" w:sz="4" w:space="0" w:color="auto"/>
            </w:tcBorders>
          </w:tcPr>
          <w:p w14:paraId="4E5A5DAF" w14:textId="6CE7C3A2" w:rsidR="008B0DF6" w:rsidRPr="00EC5AF9" w:rsidRDefault="00912C12" w:rsidP="008B0DF6">
            <w:pPr>
              <w:rPr>
                <w:rFonts w:ascii="Arial" w:hAnsi="Arial" w:cs="Arial"/>
                <w:b/>
              </w:rPr>
            </w:pPr>
            <w:r>
              <w:rPr>
                <w:rFonts w:ascii="Arial" w:hAnsi="Arial" w:cs="Arial"/>
                <w:b/>
              </w:rPr>
              <w:t>Venue</w:t>
            </w:r>
            <w:r w:rsidR="008B0DF6" w:rsidRPr="004B7EF7">
              <w:rPr>
                <w:rFonts w:ascii="Arial" w:hAnsi="Arial" w:cs="Arial"/>
                <w:b/>
              </w:rPr>
              <w:t>:</w:t>
            </w:r>
          </w:p>
        </w:tc>
        <w:tc>
          <w:tcPr>
            <w:tcW w:w="6032" w:type="dxa"/>
            <w:tcBorders>
              <w:top w:val="single" w:sz="4" w:space="0" w:color="auto"/>
            </w:tcBorders>
          </w:tcPr>
          <w:p w14:paraId="7BC8D405" w14:textId="2035ACEB" w:rsidR="008B0DF6" w:rsidRPr="008B0DF6" w:rsidRDefault="00790EAA" w:rsidP="008B0DF6">
            <w:pPr>
              <w:rPr>
                <w:rFonts w:ascii="Arial" w:hAnsi="Arial" w:cs="Arial"/>
                <w:highlight w:val="yellow"/>
              </w:rPr>
            </w:pPr>
            <w:proofErr w:type="spellStart"/>
            <w:r>
              <w:rPr>
                <w:rFonts w:ascii="Arial" w:hAnsi="Arial" w:cs="Arial"/>
              </w:rPr>
              <w:t>Telecon</w:t>
            </w:r>
            <w:proofErr w:type="spellEnd"/>
          </w:p>
        </w:tc>
      </w:tr>
      <w:tr w:rsidR="008B0DF6" w:rsidRPr="00D360F3" w14:paraId="286D81B1" w14:textId="77777777" w:rsidTr="004318C6">
        <w:tc>
          <w:tcPr>
            <w:tcW w:w="3590" w:type="dxa"/>
          </w:tcPr>
          <w:p w14:paraId="178B8A80" w14:textId="77777777" w:rsidR="008B0DF6" w:rsidRPr="00EC5AF9" w:rsidRDefault="008B0DF6" w:rsidP="008B0DF6">
            <w:pPr>
              <w:rPr>
                <w:rFonts w:ascii="Arial" w:hAnsi="Arial" w:cs="Arial"/>
                <w:b/>
              </w:rPr>
            </w:pPr>
            <w:r w:rsidRPr="004B7EF7">
              <w:rPr>
                <w:rFonts w:ascii="Arial" w:hAnsi="Arial" w:cs="Arial"/>
                <w:b/>
              </w:rPr>
              <w:t>Date and Time:</w:t>
            </w:r>
          </w:p>
        </w:tc>
        <w:tc>
          <w:tcPr>
            <w:tcW w:w="6032" w:type="dxa"/>
          </w:tcPr>
          <w:p w14:paraId="5F4D02B3" w14:textId="603143CE" w:rsidR="008B0DF6" w:rsidRPr="00EC5AF9" w:rsidRDefault="00C95157" w:rsidP="00C95157">
            <w:pPr>
              <w:rPr>
                <w:rFonts w:ascii="Arial" w:hAnsi="Arial" w:cs="Arial"/>
              </w:rPr>
            </w:pPr>
            <w:r>
              <w:rPr>
                <w:rFonts w:ascii="Arial" w:hAnsi="Arial" w:cs="Arial"/>
              </w:rPr>
              <w:t>Friday</w:t>
            </w:r>
            <w:r w:rsidR="00C746B5">
              <w:rPr>
                <w:rFonts w:ascii="Arial" w:hAnsi="Arial" w:cs="Arial"/>
              </w:rPr>
              <w:t xml:space="preserve"> </w:t>
            </w:r>
            <w:r>
              <w:rPr>
                <w:rFonts w:ascii="Arial" w:hAnsi="Arial" w:cs="Arial"/>
              </w:rPr>
              <w:t>07th</w:t>
            </w:r>
            <w:r w:rsidR="0034181C">
              <w:rPr>
                <w:rFonts w:ascii="Arial" w:hAnsi="Arial" w:cs="Arial"/>
              </w:rPr>
              <w:t xml:space="preserve"> </w:t>
            </w:r>
            <w:r>
              <w:rPr>
                <w:rFonts w:ascii="Arial" w:hAnsi="Arial" w:cs="Arial"/>
              </w:rPr>
              <w:t>December</w:t>
            </w:r>
            <w:r w:rsidR="00AC0347">
              <w:rPr>
                <w:rFonts w:ascii="Arial" w:hAnsi="Arial" w:cs="Arial"/>
              </w:rPr>
              <w:t xml:space="preserve"> 2012</w:t>
            </w:r>
            <w:r w:rsidR="006E7C21" w:rsidRPr="006E7C21">
              <w:rPr>
                <w:rFonts w:ascii="Arial" w:hAnsi="Arial" w:cs="Arial"/>
              </w:rPr>
              <w:t xml:space="preserve"> at </w:t>
            </w:r>
            <w:r>
              <w:rPr>
                <w:rFonts w:ascii="Arial" w:hAnsi="Arial" w:cs="Arial"/>
              </w:rPr>
              <w:t>15</w:t>
            </w:r>
            <w:r w:rsidR="00C746B5">
              <w:rPr>
                <w:rFonts w:ascii="Arial" w:hAnsi="Arial" w:cs="Arial"/>
              </w:rPr>
              <w:t>:00</w:t>
            </w:r>
            <w:r w:rsidR="00790EAA">
              <w:rPr>
                <w:rFonts w:ascii="Arial" w:hAnsi="Arial" w:cs="Arial"/>
              </w:rPr>
              <w:t xml:space="preserve"> CET</w:t>
            </w:r>
          </w:p>
        </w:tc>
      </w:tr>
      <w:tr w:rsidR="008B0DF6" w:rsidRPr="00D360F3" w14:paraId="7A712B38" w14:textId="77777777" w:rsidTr="004318C6">
        <w:tc>
          <w:tcPr>
            <w:tcW w:w="3590" w:type="dxa"/>
          </w:tcPr>
          <w:p w14:paraId="05B5CA0B" w14:textId="77777777" w:rsidR="008B0DF6" w:rsidRPr="004B7EF7" w:rsidRDefault="008B0DF6" w:rsidP="008B0DF6">
            <w:pPr>
              <w:rPr>
                <w:rFonts w:ascii="Arial" w:hAnsi="Arial" w:cs="Arial"/>
                <w:b/>
              </w:rPr>
            </w:pPr>
            <w:r>
              <w:rPr>
                <w:rFonts w:ascii="Arial" w:hAnsi="Arial" w:cs="Arial"/>
                <w:b/>
              </w:rPr>
              <w:t>Agenda:</w:t>
            </w:r>
          </w:p>
        </w:tc>
        <w:tc>
          <w:tcPr>
            <w:tcW w:w="6032" w:type="dxa"/>
          </w:tcPr>
          <w:p w14:paraId="2A14C909" w14:textId="5770E362" w:rsidR="008B0DF6" w:rsidRPr="00EC5AF9" w:rsidRDefault="00C95157" w:rsidP="008B0DF6">
            <w:pPr>
              <w:rPr>
                <w:rFonts w:ascii="Arial" w:hAnsi="Arial" w:cs="Arial"/>
              </w:rPr>
            </w:pPr>
            <w:r w:rsidRPr="00C95157">
              <w:rPr>
                <w:rFonts w:ascii="Arial" w:hAnsi="Arial" w:cs="Arial"/>
              </w:rPr>
              <w:t>https://indico.egi.eu/indico/conferenceDisplay.py?confId=1264</w:t>
            </w:r>
          </w:p>
        </w:tc>
      </w:tr>
    </w:tbl>
    <w:p w14:paraId="6A6C0D18" w14:textId="77777777" w:rsidR="006232CD" w:rsidRDefault="006232CD" w:rsidP="00D360F3">
      <w:pPr>
        <w:rPr>
          <w:rFonts w:ascii="Arial" w:hAnsi="Arial" w:cs="Arial"/>
        </w:rPr>
      </w:pPr>
    </w:p>
    <w:p w14:paraId="4E3F39F2" w14:textId="77777777" w:rsidR="006232CD" w:rsidRDefault="006232CD" w:rsidP="00D360F3">
      <w:pPr>
        <w:rPr>
          <w:rFonts w:ascii="Arial" w:hAnsi="Arial" w:cs="Arial"/>
        </w:rPr>
      </w:pPr>
    </w:p>
    <w:p w14:paraId="44C4024C" w14:textId="77777777" w:rsidR="00FF0B7E" w:rsidRDefault="00A4093C">
      <w:pPr>
        <w:pStyle w:val="TOC1"/>
        <w:tabs>
          <w:tab w:val="right" w:pos="9396"/>
        </w:tabs>
        <w:rPr>
          <w:rFonts w:eastAsiaTheme="minorEastAsia"/>
          <w:b w:val="0"/>
          <w:caps w:val="0"/>
          <w:noProof/>
          <w:sz w:val="24"/>
          <w:szCs w:val="24"/>
          <w:u w:val="none"/>
          <w:lang w:eastAsia="ja-JP"/>
        </w:rPr>
      </w:pPr>
      <w:r>
        <w:fldChar w:fldCharType="begin"/>
      </w:r>
      <w:r>
        <w:instrText xml:space="preserve"> TOC \o "1-3" </w:instrText>
      </w:r>
      <w:r>
        <w:fldChar w:fldCharType="separate"/>
      </w:r>
      <w:r w:rsidR="00FF0B7E">
        <w:rPr>
          <w:noProof/>
        </w:rPr>
        <w:t>Participants</w:t>
      </w:r>
      <w:r w:rsidR="00FF0B7E">
        <w:rPr>
          <w:noProof/>
        </w:rPr>
        <w:tab/>
      </w:r>
      <w:r w:rsidR="00FF0B7E">
        <w:rPr>
          <w:noProof/>
        </w:rPr>
        <w:fldChar w:fldCharType="begin"/>
      </w:r>
      <w:r w:rsidR="00FF0B7E">
        <w:rPr>
          <w:noProof/>
        </w:rPr>
        <w:instrText xml:space="preserve"> PAGEREF _Toc216544572 \h </w:instrText>
      </w:r>
      <w:r w:rsidR="00FF0B7E">
        <w:rPr>
          <w:noProof/>
        </w:rPr>
      </w:r>
      <w:r w:rsidR="00FF0B7E">
        <w:rPr>
          <w:noProof/>
        </w:rPr>
        <w:fldChar w:fldCharType="separate"/>
      </w:r>
      <w:r w:rsidR="00FF0B7E">
        <w:rPr>
          <w:noProof/>
        </w:rPr>
        <w:t>2</w:t>
      </w:r>
      <w:r w:rsidR="00FF0B7E">
        <w:rPr>
          <w:noProof/>
        </w:rPr>
        <w:fldChar w:fldCharType="end"/>
      </w:r>
    </w:p>
    <w:p w14:paraId="2E98F068" w14:textId="77777777" w:rsidR="00FF0B7E" w:rsidRDefault="00FF0B7E">
      <w:pPr>
        <w:pStyle w:val="TOC1"/>
        <w:tabs>
          <w:tab w:val="right" w:pos="9396"/>
        </w:tabs>
        <w:rPr>
          <w:rFonts w:eastAsiaTheme="minorEastAsia"/>
          <w:b w:val="0"/>
          <w:caps w:val="0"/>
          <w:noProof/>
          <w:sz w:val="24"/>
          <w:szCs w:val="24"/>
          <w:u w:val="none"/>
          <w:lang w:eastAsia="ja-JP"/>
        </w:rPr>
      </w:pPr>
      <w:r>
        <w:rPr>
          <w:noProof/>
        </w:rPr>
        <w:t>Minutes of the Previous Meeting</w:t>
      </w:r>
      <w:r>
        <w:rPr>
          <w:noProof/>
        </w:rPr>
        <w:tab/>
      </w:r>
      <w:r>
        <w:rPr>
          <w:noProof/>
        </w:rPr>
        <w:fldChar w:fldCharType="begin"/>
      </w:r>
      <w:r>
        <w:rPr>
          <w:noProof/>
        </w:rPr>
        <w:instrText xml:space="preserve"> PAGEREF _Toc216544573 \h </w:instrText>
      </w:r>
      <w:r>
        <w:rPr>
          <w:noProof/>
        </w:rPr>
      </w:r>
      <w:r>
        <w:rPr>
          <w:noProof/>
        </w:rPr>
        <w:fldChar w:fldCharType="separate"/>
      </w:r>
      <w:r>
        <w:rPr>
          <w:noProof/>
        </w:rPr>
        <w:t>3</w:t>
      </w:r>
      <w:r>
        <w:rPr>
          <w:noProof/>
        </w:rPr>
        <w:fldChar w:fldCharType="end"/>
      </w:r>
    </w:p>
    <w:p w14:paraId="3C4B949B" w14:textId="77777777" w:rsidR="00FF0B7E" w:rsidRDefault="00FF0B7E">
      <w:pPr>
        <w:pStyle w:val="TOC1"/>
        <w:tabs>
          <w:tab w:val="right" w:pos="9396"/>
        </w:tabs>
        <w:rPr>
          <w:rFonts w:eastAsiaTheme="minorEastAsia"/>
          <w:b w:val="0"/>
          <w:caps w:val="0"/>
          <w:noProof/>
          <w:sz w:val="24"/>
          <w:szCs w:val="24"/>
          <w:u w:val="none"/>
          <w:lang w:eastAsia="ja-JP"/>
        </w:rPr>
      </w:pPr>
      <w:r>
        <w:rPr>
          <w:noProof/>
        </w:rPr>
        <w:t>Action Review</w:t>
      </w:r>
      <w:r>
        <w:rPr>
          <w:noProof/>
        </w:rPr>
        <w:tab/>
      </w:r>
      <w:r>
        <w:rPr>
          <w:noProof/>
        </w:rPr>
        <w:fldChar w:fldCharType="begin"/>
      </w:r>
      <w:r>
        <w:rPr>
          <w:noProof/>
        </w:rPr>
        <w:instrText xml:space="preserve"> PAGEREF _Toc216544574 \h </w:instrText>
      </w:r>
      <w:r>
        <w:rPr>
          <w:noProof/>
        </w:rPr>
      </w:r>
      <w:r>
        <w:rPr>
          <w:noProof/>
        </w:rPr>
        <w:fldChar w:fldCharType="separate"/>
      </w:r>
      <w:r>
        <w:rPr>
          <w:noProof/>
        </w:rPr>
        <w:t>3</w:t>
      </w:r>
      <w:r>
        <w:rPr>
          <w:noProof/>
        </w:rPr>
        <w:fldChar w:fldCharType="end"/>
      </w:r>
    </w:p>
    <w:p w14:paraId="3A90DB72" w14:textId="77777777" w:rsidR="00FF0B7E" w:rsidRDefault="00FF0B7E">
      <w:pPr>
        <w:pStyle w:val="TOC1"/>
        <w:tabs>
          <w:tab w:val="right" w:pos="9396"/>
        </w:tabs>
        <w:rPr>
          <w:rFonts w:eastAsiaTheme="minorEastAsia"/>
          <w:b w:val="0"/>
          <w:caps w:val="0"/>
          <w:noProof/>
          <w:sz w:val="24"/>
          <w:szCs w:val="24"/>
          <w:u w:val="none"/>
          <w:lang w:eastAsia="ja-JP"/>
        </w:rPr>
      </w:pPr>
      <w:r>
        <w:rPr>
          <w:noProof/>
        </w:rPr>
        <w:t>Introduction EGI Excellence Science Policy</w:t>
      </w:r>
      <w:r>
        <w:rPr>
          <w:noProof/>
        </w:rPr>
        <w:tab/>
      </w:r>
      <w:r>
        <w:rPr>
          <w:noProof/>
        </w:rPr>
        <w:fldChar w:fldCharType="begin"/>
      </w:r>
      <w:r>
        <w:rPr>
          <w:noProof/>
        </w:rPr>
        <w:instrText xml:space="preserve"> PAGEREF _Toc216544575 \h </w:instrText>
      </w:r>
      <w:r>
        <w:rPr>
          <w:noProof/>
        </w:rPr>
      </w:r>
      <w:r>
        <w:rPr>
          <w:noProof/>
        </w:rPr>
        <w:fldChar w:fldCharType="separate"/>
      </w:r>
      <w:r>
        <w:rPr>
          <w:noProof/>
        </w:rPr>
        <w:t>3</w:t>
      </w:r>
      <w:r>
        <w:rPr>
          <w:noProof/>
        </w:rPr>
        <w:fldChar w:fldCharType="end"/>
      </w:r>
    </w:p>
    <w:p w14:paraId="623F75C9" w14:textId="77777777" w:rsidR="00FF0B7E" w:rsidRDefault="00FF0B7E">
      <w:pPr>
        <w:pStyle w:val="TOC1"/>
        <w:tabs>
          <w:tab w:val="right" w:pos="9396"/>
        </w:tabs>
        <w:rPr>
          <w:rFonts w:eastAsiaTheme="minorEastAsia"/>
          <w:b w:val="0"/>
          <w:caps w:val="0"/>
          <w:noProof/>
          <w:sz w:val="24"/>
          <w:szCs w:val="24"/>
          <w:u w:val="none"/>
          <w:lang w:eastAsia="ja-JP"/>
        </w:rPr>
      </w:pPr>
      <w:r>
        <w:rPr>
          <w:noProof/>
        </w:rPr>
        <w:t>Discussion</w:t>
      </w:r>
      <w:r>
        <w:rPr>
          <w:noProof/>
        </w:rPr>
        <w:tab/>
      </w:r>
      <w:r>
        <w:rPr>
          <w:noProof/>
        </w:rPr>
        <w:fldChar w:fldCharType="begin"/>
      </w:r>
      <w:r>
        <w:rPr>
          <w:noProof/>
        </w:rPr>
        <w:instrText xml:space="preserve"> PAGEREF _Toc216544576 \h </w:instrText>
      </w:r>
      <w:r>
        <w:rPr>
          <w:noProof/>
        </w:rPr>
      </w:r>
      <w:r>
        <w:rPr>
          <w:noProof/>
        </w:rPr>
        <w:fldChar w:fldCharType="separate"/>
      </w:r>
      <w:r>
        <w:rPr>
          <w:noProof/>
        </w:rPr>
        <w:t>3</w:t>
      </w:r>
      <w:r>
        <w:rPr>
          <w:noProof/>
        </w:rPr>
        <w:fldChar w:fldCharType="end"/>
      </w:r>
    </w:p>
    <w:p w14:paraId="379683E6" w14:textId="77777777" w:rsidR="00FF0B7E" w:rsidRDefault="00FF0B7E">
      <w:pPr>
        <w:pStyle w:val="TOC1"/>
        <w:tabs>
          <w:tab w:val="right" w:pos="9396"/>
        </w:tabs>
        <w:rPr>
          <w:rFonts w:eastAsiaTheme="minorEastAsia"/>
          <w:b w:val="0"/>
          <w:caps w:val="0"/>
          <w:noProof/>
          <w:sz w:val="24"/>
          <w:szCs w:val="24"/>
          <w:u w:val="none"/>
          <w:lang w:eastAsia="ja-JP"/>
        </w:rPr>
      </w:pPr>
      <w:r>
        <w:rPr>
          <w:noProof/>
        </w:rPr>
        <w:t>AOB</w:t>
      </w:r>
      <w:r>
        <w:rPr>
          <w:noProof/>
        </w:rPr>
        <w:tab/>
      </w:r>
      <w:r>
        <w:rPr>
          <w:noProof/>
        </w:rPr>
        <w:fldChar w:fldCharType="begin"/>
      </w:r>
      <w:r>
        <w:rPr>
          <w:noProof/>
        </w:rPr>
        <w:instrText xml:space="preserve"> PAGEREF _Toc216544577 \h </w:instrText>
      </w:r>
      <w:r>
        <w:rPr>
          <w:noProof/>
        </w:rPr>
      </w:r>
      <w:r>
        <w:rPr>
          <w:noProof/>
        </w:rPr>
        <w:fldChar w:fldCharType="separate"/>
      </w:r>
      <w:r>
        <w:rPr>
          <w:noProof/>
        </w:rPr>
        <w:t>5</w:t>
      </w:r>
      <w:r>
        <w:rPr>
          <w:noProof/>
        </w:rPr>
        <w:fldChar w:fldCharType="end"/>
      </w:r>
    </w:p>
    <w:p w14:paraId="244EED44" w14:textId="77777777" w:rsidR="00FF0B7E" w:rsidRDefault="00FF0B7E">
      <w:pPr>
        <w:pStyle w:val="TOC1"/>
        <w:tabs>
          <w:tab w:val="right" w:pos="9396"/>
        </w:tabs>
        <w:rPr>
          <w:rFonts w:eastAsiaTheme="minorEastAsia"/>
          <w:b w:val="0"/>
          <w:caps w:val="0"/>
          <w:noProof/>
          <w:sz w:val="24"/>
          <w:szCs w:val="24"/>
          <w:u w:val="none"/>
          <w:lang w:eastAsia="ja-JP"/>
        </w:rPr>
      </w:pPr>
      <w:r>
        <w:rPr>
          <w:noProof/>
        </w:rPr>
        <w:t>Actions</w:t>
      </w:r>
      <w:r>
        <w:rPr>
          <w:noProof/>
        </w:rPr>
        <w:tab/>
      </w:r>
      <w:r>
        <w:rPr>
          <w:noProof/>
        </w:rPr>
        <w:fldChar w:fldCharType="begin"/>
      </w:r>
      <w:r>
        <w:rPr>
          <w:noProof/>
        </w:rPr>
        <w:instrText xml:space="preserve"> PAGEREF _Toc216544578 \h </w:instrText>
      </w:r>
      <w:r>
        <w:rPr>
          <w:noProof/>
        </w:rPr>
      </w:r>
      <w:r>
        <w:rPr>
          <w:noProof/>
        </w:rPr>
        <w:fldChar w:fldCharType="separate"/>
      </w:r>
      <w:r>
        <w:rPr>
          <w:noProof/>
        </w:rPr>
        <w:t>6</w:t>
      </w:r>
      <w:r>
        <w:rPr>
          <w:noProof/>
        </w:rPr>
        <w:fldChar w:fldCharType="end"/>
      </w:r>
    </w:p>
    <w:p w14:paraId="45538AFD" w14:textId="1D123BD3" w:rsidR="00A4093C" w:rsidRDefault="00A4093C" w:rsidP="00A4093C">
      <w:pPr>
        <w:rPr>
          <w:rFonts w:ascii="Arial" w:hAnsi="Arial" w:cs="Arial"/>
        </w:rPr>
      </w:pPr>
      <w:r>
        <w:fldChar w:fldCharType="end"/>
      </w:r>
    </w:p>
    <w:p w14:paraId="3107D7F7" w14:textId="77777777" w:rsidR="00A4093C" w:rsidRDefault="00A4093C" w:rsidP="00D360F3">
      <w:pPr>
        <w:rPr>
          <w:rFonts w:ascii="Arial" w:hAnsi="Arial" w:cs="Arial"/>
        </w:rPr>
      </w:pPr>
    </w:p>
    <w:p w14:paraId="14F4E039" w14:textId="77777777" w:rsidR="00A4093C" w:rsidRDefault="00A4093C" w:rsidP="00D360F3">
      <w:pPr>
        <w:rPr>
          <w:rFonts w:ascii="Arial" w:hAnsi="Arial" w:cs="Arial"/>
        </w:rPr>
      </w:pPr>
    </w:p>
    <w:p w14:paraId="114A94BF" w14:textId="77777777" w:rsidR="00A4093C" w:rsidRDefault="00A4093C" w:rsidP="00D360F3">
      <w:pPr>
        <w:rPr>
          <w:rFonts w:ascii="Arial" w:hAnsi="Arial" w:cs="Arial"/>
        </w:rPr>
      </w:pPr>
    </w:p>
    <w:p w14:paraId="49AB45FC" w14:textId="77777777" w:rsidR="006232CD" w:rsidRDefault="006232CD">
      <w:pPr>
        <w:spacing w:after="200"/>
        <w:jc w:val="left"/>
        <w:rPr>
          <w:rFonts w:ascii="Arial" w:hAnsi="Arial" w:cs="Arial"/>
        </w:rPr>
      </w:pPr>
      <w:r>
        <w:rPr>
          <w:rFonts w:ascii="Arial" w:hAnsi="Arial" w:cs="Arial"/>
          <w:b/>
          <w:bCs/>
        </w:rPr>
        <w:br w:type="page"/>
      </w:r>
    </w:p>
    <w:p w14:paraId="392C3638" w14:textId="05708BAE" w:rsidR="00A4093C" w:rsidRDefault="006232CD" w:rsidP="006232CD">
      <w:pPr>
        <w:pStyle w:val="Heading1"/>
      </w:pPr>
      <w:bookmarkStart w:id="0" w:name="_Toc216544572"/>
      <w:r>
        <w:lastRenderedPageBreak/>
        <w:t>Participants</w:t>
      </w:r>
      <w:bookmarkEnd w:id="0"/>
    </w:p>
    <w:tbl>
      <w:tblPr>
        <w:tblStyle w:val="LightShading"/>
        <w:tblW w:w="0" w:type="auto"/>
        <w:tblLook w:val="04A0" w:firstRow="1" w:lastRow="0" w:firstColumn="1" w:lastColumn="0" w:noHBand="0" w:noVBand="1"/>
      </w:tblPr>
      <w:tblGrid>
        <w:gridCol w:w="3003"/>
        <w:gridCol w:w="791"/>
        <w:gridCol w:w="3969"/>
        <w:gridCol w:w="1859"/>
      </w:tblGrid>
      <w:tr w:rsidR="00C67ED2" w14:paraId="04259891" w14:textId="77777777" w:rsidTr="008B5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4A070617" w14:textId="77777777" w:rsidR="00C67ED2" w:rsidRDefault="00C67ED2" w:rsidP="008B53A7">
            <w:pPr>
              <w:rPr>
                <w:rFonts w:ascii="Arial" w:hAnsi="Arial" w:cs="Arial"/>
              </w:rPr>
            </w:pPr>
            <w:r>
              <w:rPr>
                <w:rFonts w:ascii="Arial" w:hAnsi="Arial" w:cs="Arial"/>
              </w:rPr>
              <w:t>Name and Surname</w:t>
            </w:r>
          </w:p>
        </w:tc>
        <w:tc>
          <w:tcPr>
            <w:tcW w:w="791" w:type="dxa"/>
          </w:tcPr>
          <w:p w14:paraId="0A817331" w14:textId="77777777" w:rsidR="00C67ED2" w:rsidRDefault="00C67ED2" w:rsidP="008B53A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Abbr.</w:t>
            </w:r>
          </w:p>
        </w:tc>
        <w:tc>
          <w:tcPr>
            <w:tcW w:w="3969" w:type="dxa"/>
          </w:tcPr>
          <w:p w14:paraId="232CDDF8" w14:textId="77777777" w:rsidR="00C67ED2" w:rsidRDefault="00C67ED2" w:rsidP="008B53A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Representing</w:t>
            </w:r>
          </w:p>
        </w:tc>
        <w:tc>
          <w:tcPr>
            <w:tcW w:w="1859" w:type="dxa"/>
          </w:tcPr>
          <w:p w14:paraId="0B4C2B4B" w14:textId="77777777" w:rsidR="00C67ED2" w:rsidRDefault="00C67ED2" w:rsidP="008B53A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Membership</w:t>
            </w:r>
            <w:r>
              <w:rPr>
                <w:rStyle w:val="FootnoteReference"/>
                <w:rFonts w:ascii="Arial" w:hAnsi="Arial" w:cs="Arial"/>
              </w:rPr>
              <w:footnoteReference w:id="1"/>
            </w:r>
          </w:p>
        </w:tc>
      </w:tr>
      <w:tr w:rsidR="00C67ED2" w14:paraId="62919D1E" w14:textId="77777777" w:rsidTr="008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60342FD4" w14:textId="77777777" w:rsidR="00C67ED2" w:rsidRPr="00B53D5E" w:rsidRDefault="00C67ED2" w:rsidP="008B53A7">
            <w:pPr>
              <w:ind w:left="1440" w:hanging="1440"/>
              <w:rPr>
                <w:rFonts w:ascii="Arial" w:hAnsi="Arial" w:cs="Arial"/>
              </w:rPr>
            </w:pPr>
            <w:r w:rsidRPr="00B53D5E">
              <w:rPr>
                <w:rFonts w:ascii="Arial" w:hAnsi="Arial" w:cs="Arial"/>
              </w:rPr>
              <w:t>Linda Cornwall</w:t>
            </w:r>
          </w:p>
        </w:tc>
        <w:tc>
          <w:tcPr>
            <w:tcW w:w="791" w:type="dxa"/>
          </w:tcPr>
          <w:p w14:paraId="4D1BBDC5" w14:textId="77777777" w:rsidR="00C67ED2" w:rsidRPr="00B53D5E" w:rsidRDefault="00C67ED2" w:rsidP="008B53A7">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rPr>
            </w:pPr>
            <w:r w:rsidRPr="00B53D5E">
              <w:rPr>
                <w:rFonts w:ascii="Arial" w:hAnsi="Arial" w:cs="Arial"/>
              </w:rPr>
              <w:t>LC</w:t>
            </w:r>
          </w:p>
        </w:tc>
        <w:tc>
          <w:tcPr>
            <w:tcW w:w="3969" w:type="dxa"/>
          </w:tcPr>
          <w:p w14:paraId="3C4BFBAB" w14:textId="7F90D724" w:rsidR="00C67ED2" w:rsidRPr="00B53D5E" w:rsidRDefault="00C67ED2" w:rsidP="00720C6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rPr>
            </w:pPr>
            <w:r w:rsidRPr="00B53D5E">
              <w:rPr>
                <w:rFonts w:ascii="Arial" w:hAnsi="Arial" w:cs="Arial"/>
              </w:rPr>
              <w:t>EGI SVG Chair</w:t>
            </w:r>
          </w:p>
        </w:tc>
        <w:tc>
          <w:tcPr>
            <w:tcW w:w="1859" w:type="dxa"/>
          </w:tcPr>
          <w:p w14:paraId="4A02A570" w14:textId="77777777" w:rsidR="00C67ED2" w:rsidRPr="00B53D5E" w:rsidRDefault="00C67ED2" w:rsidP="008B53A7">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rPr>
            </w:pPr>
            <w:r w:rsidRPr="00B53D5E">
              <w:rPr>
                <w:rFonts w:ascii="Arial" w:hAnsi="Arial" w:cs="Arial"/>
              </w:rPr>
              <w:t>Member</w:t>
            </w:r>
          </w:p>
        </w:tc>
      </w:tr>
      <w:tr w:rsidR="00C67ED2" w14:paraId="465C2102" w14:textId="77777777" w:rsidTr="008B53A7">
        <w:tc>
          <w:tcPr>
            <w:cnfStyle w:val="001000000000" w:firstRow="0" w:lastRow="0" w:firstColumn="1" w:lastColumn="0" w:oddVBand="0" w:evenVBand="0" w:oddHBand="0" w:evenHBand="0" w:firstRowFirstColumn="0" w:firstRowLastColumn="0" w:lastRowFirstColumn="0" w:lastRowLastColumn="0"/>
            <w:tcW w:w="3003" w:type="dxa"/>
          </w:tcPr>
          <w:p w14:paraId="0745632A" w14:textId="28B8F93D" w:rsidR="00C67ED2" w:rsidRPr="00B53D5E" w:rsidRDefault="00460F61" w:rsidP="008B53A7">
            <w:pPr>
              <w:ind w:left="1440" w:hanging="1440"/>
              <w:rPr>
                <w:rFonts w:ascii="Arial" w:hAnsi="Arial" w:cs="Arial"/>
              </w:rPr>
            </w:pPr>
            <w:r w:rsidRPr="00B53D5E">
              <w:rPr>
                <w:rFonts w:ascii="Arial" w:hAnsi="Arial" w:cs="Arial"/>
              </w:rPr>
              <w:t>David Kelsey</w:t>
            </w:r>
          </w:p>
        </w:tc>
        <w:tc>
          <w:tcPr>
            <w:tcW w:w="791" w:type="dxa"/>
          </w:tcPr>
          <w:p w14:paraId="0BF9FEE1" w14:textId="5B3E6B5B" w:rsidR="00C67ED2" w:rsidRPr="00B53D5E" w:rsidRDefault="00460F61" w:rsidP="008B53A7">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rPr>
            </w:pPr>
            <w:r w:rsidRPr="00B53D5E">
              <w:rPr>
                <w:rFonts w:ascii="Arial" w:hAnsi="Arial" w:cs="Arial"/>
              </w:rPr>
              <w:t>DK</w:t>
            </w:r>
          </w:p>
        </w:tc>
        <w:tc>
          <w:tcPr>
            <w:tcW w:w="3969" w:type="dxa"/>
          </w:tcPr>
          <w:p w14:paraId="10B3AF32" w14:textId="474E401B" w:rsidR="00C67ED2" w:rsidRPr="00B53D5E" w:rsidRDefault="00B53D5E" w:rsidP="00720C6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rPr>
            </w:pPr>
            <w:r w:rsidRPr="00B53D5E">
              <w:rPr>
                <w:rFonts w:ascii="Arial" w:hAnsi="Arial" w:cs="Arial"/>
              </w:rPr>
              <w:t>EGI SPG Chair</w:t>
            </w:r>
          </w:p>
        </w:tc>
        <w:tc>
          <w:tcPr>
            <w:tcW w:w="1859" w:type="dxa"/>
          </w:tcPr>
          <w:p w14:paraId="5854C025" w14:textId="1FFE2CB1" w:rsidR="00C67ED2" w:rsidRPr="00B53D5E" w:rsidRDefault="00B53D5E" w:rsidP="008B53A7">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rPr>
            </w:pPr>
            <w:r w:rsidRPr="00B53D5E">
              <w:rPr>
                <w:rFonts w:ascii="Arial" w:hAnsi="Arial" w:cs="Arial"/>
              </w:rPr>
              <w:t>Member</w:t>
            </w:r>
          </w:p>
        </w:tc>
      </w:tr>
      <w:tr w:rsidR="00C90CFF" w14:paraId="2C3672FF" w14:textId="77777777" w:rsidTr="008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76B3433" w14:textId="7C6C7D7B" w:rsidR="00C90CFF" w:rsidRPr="00B53D5E" w:rsidRDefault="00D64DA2" w:rsidP="008B53A7">
            <w:pPr>
              <w:ind w:left="1440" w:hanging="1440"/>
              <w:rPr>
                <w:rFonts w:ascii="Arial" w:hAnsi="Arial" w:cs="Arial"/>
              </w:rPr>
            </w:pPr>
            <w:r w:rsidRPr="00B53D5E">
              <w:rPr>
                <w:rFonts w:ascii="Arial" w:hAnsi="Arial" w:cs="Arial"/>
              </w:rPr>
              <w:t>Steven Newhouse</w:t>
            </w:r>
          </w:p>
        </w:tc>
        <w:tc>
          <w:tcPr>
            <w:tcW w:w="791" w:type="dxa"/>
          </w:tcPr>
          <w:p w14:paraId="46BE66A3" w14:textId="0D321170" w:rsidR="00C90CFF" w:rsidRPr="00B53D5E" w:rsidRDefault="00C90CFF" w:rsidP="008B53A7">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rPr>
            </w:pPr>
            <w:r w:rsidRPr="00B53D5E">
              <w:rPr>
                <w:rFonts w:ascii="Arial" w:hAnsi="Arial" w:cs="Arial"/>
              </w:rPr>
              <w:t>MM</w:t>
            </w:r>
          </w:p>
        </w:tc>
        <w:tc>
          <w:tcPr>
            <w:tcW w:w="3969" w:type="dxa"/>
          </w:tcPr>
          <w:p w14:paraId="11745A74" w14:textId="3D76CA33" w:rsidR="00C90CFF" w:rsidRPr="00B53D5E" w:rsidRDefault="006149D9" w:rsidP="00C90CFF">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rPr>
            </w:pPr>
            <w:r w:rsidRPr="00B53D5E">
              <w:rPr>
                <w:rFonts w:ascii="Arial" w:hAnsi="Arial" w:cs="Arial"/>
              </w:rPr>
              <w:t xml:space="preserve">EGI.eu Director and CTO </w:t>
            </w:r>
          </w:p>
        </w:tc>
        <w:tc>
          <w:tcPr>
            <w:tcW w:w="1859" w:type="dxa"/>
          </w:tcPr>
          <w:p w14:paraId="37BEC272" w14:textId="36EF035F" w:rsidR="00C90CFF" w:rsidRPr="00B53D5E" w:rsidRDefault="00C90CFF" w:rsidP="008B53A7">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rPr>
            </w:pPr>
            <w:r w:rsidRPr="00B53D5E">
              <w:rPr>
                <w:rFonts w:ascii="Arial" w:hAnsi="Arial" w:cs="Arial"/>
              </w:rPr>
              <w:t>Member</w:t>
            </w:r>
            <w:r w:rsidR="00D64DA2" w:rsidRPr="00B53D5E">
              <w:rPr>
                <w:rFonts w:ascii="Arial" w:hAnsi="Arial" w:cs="Arial"/>
              </w:rPr>
              <w:t xml:space="preserve"> (Chair)</w:t>
            </w:r>
          </w:p>
        </w:tc>
      </w:tr>
      <w:tr w:rsidR="006149D9" w14:paraId="63820866" w14:textId="77777777" w:rsidTr="008B53A7">
        <w:tc>
          <w:tcPr>
            <w:cnfStyle w:val="001000000000" w:firstRow="0" w:lastRow="0" w:firstColumn="1" w:lastColumn="0" w:oddVBand="0" w:evenVBand="0" w:oddHBand="0" w:evenHBand="0" w:firstRowFirstColumn="0" w:firstRowLastColumn="0" w:lastRowFirstColumn="0" w:lastRowLastColumn="0"/>
            <w:tcW w:w="3003" w:type="dxa"/>
          </w:tcPr>
          <w:p w14:paraId="2B67A823" w14:textId="235D5655" w:rsidR="006149D9" w:rsidRPr="00B53D5E" w:rsidRDefault="006149D9" w:rsidP="008B53A7">
            <w:pPr>
              <w:ind w:left="1440" w:hanging="1440"/>
              <w:rPr>
                <w:rFonts w:ascii="Arial" w:hAnsi="Arial" w:cs="Arial"/>
              </w:rPr>
            </w:pPr>
            <w:r w:rsidRPr="00B53D5E">
              <w:rPr>
                <w:rFonts w:ascii="Arial" w:hAnsi="Arial" w:cs="Arial"/>
              </w:rPr>
              <w:t xml:space="preserve">Peter </w:t>
            </w:r>
            <w:proofErr w:type="spellStart"/>
            <w:r w:rsidRPr="00B53D5E">
              <w:rPr>
                <w:rFonts w:ascii="Arial" w:hAnsi="Arial" w:cs="Arial"/>
              </w:rPr>
              <w:t>Solagna</w:t>
            </w:r>
            <w:proofErr w:type="spellEnd"/>
            <w:r w:rsidRPr="00B53D5E">
              <w:rPr>
                <w:rFonts w:ascii="Arial" w:hAnsi="Arial" w:cs="Arial"/>
              </w:rPr>
              <w:t xml:space="preserve"> </w:t>
            </w:r>
          </w:p>
        </w:tc>
        <w:tc>
          <w:tcPr>
            <w:tcW w:w="791" w:type="dxa"/>
          </w:tcPr>
          <w:p w14:paraId="42AA1581" w14:textId="1633ABE2" w:rsidR="006149D9" w:rsidRPr="00B53D5E" w:rsidRDefault="006149D9" w:rsidP="008B53A7">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rPr>
            </w:pPr>
            <w:r w:rsidRPr="00B53D5E">
              <w:rPr>
                <w:rFonts w:ascii="Arial" w:hAnsi="Arial" w:cs="Arial"/>
              </w:rPr>
              <w:t>PS</w:t>
            </w:r>
          </w:p>
        </w:tc>
        <w:tc>
          <w:tcPr>
            <w:tcW w:w="3969" w:type="dxa"/>
          </w:tcPr>
          <w:p w14:paraId="1207BC56" w14:textId="32D1213C" w:rsidR="006149D9" w:rsidRPr="00B53D5E" w:rsidRDefault="00421A48" w:rsidP="008B53A7">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rPr>
            </w:pPr>
            <w:r w:rsidRPr="00B53D5E">
              <w:rPr>
                <w:rFonts w:ascii="Arial" w:hAnsi="Arial" w:cs="Arial"/>
              </w:rPr>
              <w:t xml:space="preserve">EGI.eu </w:t>
            </w:r>
            <w:r w:rsidR="006149D9" w:rsidRPr="00B53D5E">
              <w:rPr>
                <w:rFonts w:ascii="Arial" w:hAnsi="Arial" w:cs="Arial"/>
              </w:rPr>
              <w:t>Operations Officer</w:t>
            </w:r>
          </w:p>
        </w:tc>
        <w:tc>
          <w:tcPr>
            <w:tcW w:w="1859" w:type="dxa"/>
          </w:tcPr>
          <w:p w14:paraId="4DD0EF88" w14:textId="77C2B9A6" w:rsidR="006149D9" w:rsidRPr="00B53D5E" w:rsidRDefault="006149D9" w:rsidP="008B53A7">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rPr>
            </w:pPr>
            <w:r w:rsidRPr="00B53D5E">
              <w:rPr>
                <w:rFonts w:ascii="Arial" w:hAnsi="Arial" w:cs="Arial"/>
              </w:rPr>
              <w:t>Observer</w:t>
            </w:r>
          </w:p>
        </w:tc>
      </w:tr>
      <w:tr w:rsidR="006506C8" w14:paraId="09B70CB0" w14:textId="77777777" w:rsidTr="008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09BD7FC8" w14:textId="220690FC" w:rsidR="006506C8" w:rsidRPr="00B53D5E" w:rsidRDefault="006506C8" w:rsidP="00FE02CE">
            <w:pPr>
              <w:ind w:left="1440" w:hanging="1440"/>
              <w:rPr>
                <w:rFonts w:ascii="Arial" w:hAnsi="Arial" w:cs="Arial"/>
              </w:rPr>
            </w:pPr>
            <w:r w:rsidRPr="00B53D5E">
              <w:rPr>
                <w:rFonts w:ascii="Arial" w:hAnsi="Arial" w:cs="Arial"/>
              </w:rPr>
              <w:t xml:space="preserve">Michel </w:t>
            </w:r>
            <w:proofErr w:type="spellStart"/>
            <w:r w:rsidRPr="00B53D5E">
              <w:rPr>
                <w:rFonts w:ascii="Arial" w:hAnsi="Arial" w:cs="Arial"/>
              </w:rPr>
              <w:t>Dreschner</w:t>
            </w:r>
            <w:proofErr w:type="spellEnd"/>
          </w:p>
        </w:tc>
        <w:tc>
          <w:tcPr>
            <w:tcW w:w="791" w:type="dxa"/>
          </w:tcPr>
          <w:p w14:paraId="45DBBF66" w14:textId="71B5A706" w:rsidR="006506C8" w:rsidRPr="00B53D5E" w:rsidRDefault="006506C8" w:rsidP="008B53A7">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rPr>
            </w:pPr>
            <w:r w:rsidRPr="00B53D5E">
              <w:rPr>
                <w:rFonts w:ascii="Arial" w:hAnsi="Arial" w:cs="Arial"/>
              </w:rPr>
              <w:t>MD</w:t>
            </w:r>
          </w:p>
        </w:tc>
        <w:tc>
          <w:tcPr>
            <w:tcW w:w="3969" w:type="dxa"/>
          </w:tcPr>
          <w:p w14:paraId="1A4A782F" w14:textId="1EBF0D5F" w:rsidR="006506C8" w:rsidRPr="00B53D5E" w:rsidRDefault="006506C8" w:rsidP="008B53A7">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EGI.eu Technical Manager</w:t>
            </w:r>
          </w:p>
        </w:tc>
        <w:tc>
          <w:tcPr>
            <w:tcW w:w="1859" w:type="dxa"/>
          </w:tcPr>
          <w:p w14:paraId="35F16B88" w14:textId="2270BD5F" w:rsidR="006506C8" w:rsidRPr="00B53D5E" w:rsidRDefault="006506C8" w:rsidP="008B53A7">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Observer</w:t>
            </w:r>
          </w:p>
        </w:tc>
      </w:tr>
      <w:tr w:rsidR="006506C8" w14:paraId="76259917" w14:textId="77777777" w:rsidTr="008B53A7">
        <w:tc>
          <w:tcPr>
            <w:cnfStyle w:val="001000000000" w:firstRow="0" w:lastRow="0" w:firstColumn="1" w:lastColumn="0" w:oddVBand="0" w:evenVBand="0" w:oddHBand="0" w:evenHBand="0" w:firstRowFirstColumn="0" w:firstRowLastColumn="0" w:lastRowFirstColumn="0" w:lastRowLastColumn="0"/>
            <w:tcW w:w="3003" w:type="dxa"/>
          </w:tcPr>
          <w:p w14:paraId="72DCA621" w14:textId="1AEB3D70" w:rsidR="006506C8" w:rsidRPr="00B53D5E" w:rsidRDefault="006506C8" w:rsidP="00FE02CE">
            <w:pPr>
              <w:ind w:left="1440" w:hanging="1440"/>
              <w:rPr>
                <w:rFonts w:ascii="Arial" w:hAnsi="Arial" w:cs="Arial"/>
              </w:rPr>
            </w:pPr>
            <w:r w:rsidRPr="00B53D5E">
              <w:rPr>
                <w:rFonts w:ascii="Arial" w:hAnsi="Arial" w:cs="Arial"/>
              </w:rPr>
              <w:t xml:space="preserve">Sergio </w:t>
            </w:r>
            <w:proofErr w:type="spellStart"/>
            <w:r w:rsidRPr="00B53D5E">
              <w:rPr>
                <w:rFonts w:ascii="Arial" w:hAnsi="Arial" w:cs="Arial"/>
              </w:rPr>
              <w:t>Andreozzi</w:t>
            </w:r>
            <w:proofErr w:type="spellEnd"/>
          </w:p>
        </w:tc>
        <w:tc>
          <w:tcPr>
            <w:tcW w:w="791" w:type="dxa"/>
          </w:tcPr>
          <w:p w14:paraId="15DE2EBC" w14:textId="60D585EB" w:rsidR="006506C8" w:rsidRPr="00B53D5E" w:rsidRDefault="006506C8" w:rsidP="008B53A7">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rPr>
            </w:pPr>
            <w:r w:rsidRPr="00B53D5E">
              <w:rPr>
                <w:rFonts w:ascii="Arial" w:hAnsi="Arial" w:cs="Arial"/>
              </w:rPr>
              <w:t>SA</w:t>
            </w:r>
          </w:p>
        </w:tc>
        <w:tc>
          <w:tcPr>
            <w:tcW w:w="3969" w:type="dxa"/>
          </w:tcPr>
          <w:p w14:paraId="07B3A7C2" w14:textId="03E7834B" w:rsidR="006506C8" w:rsidRPr="00B53D5E" w:rsidRDefault="006506C8" w:rsidP="008B53A7">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rPr>
            </w:pPr>
            <w:r w:rsidRPr="00B53D5E">
              <w:rPr>
                <w:rFonts w:ascii="Arial" w:hAnsi="Arial" w:cs="Arial"/>
              </w:rPr>
              <w:t xml:space="preserve">Strategy and Policy Manager </w:t>
            </w:r>
          </w:p>
        </w:tc>
        <w:tc>
          <w:tcPr>
            <w:tcW w:w="1859" w:type="dxa"/>
          </w:tcPr>
          <w:p w14:paraId="12377F91" w14:textId="31240A91" w:rsidR="006506C8" w:rsidRPr="00B53D5E" w:rsidRDefault="006506C8" w:rsidP="008B53A7">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rPr>
            </w:pPr>
            <w:r w:rsidRPr="00B53D5E">
              <w:rPr>
                <w:rFonts w:ascii="Arial" w:hAnsi="Arial" w:cs="Arial"/>
              </w:rPr>
              <w:t>Observer</w:t>
            </w:r>
          </w:p>
        </w:tc>
      </w:tr>
      <w:tr w:rsidR="006506C8" w14:paraId="4E95071D" w14:textId="77777777" w:rsidTr="008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E95AE31" w14:textId="4DA0B127" w:rsidR="006506C8" w:rsidRPr="00B53D5E" w:rsidRDefault="006506C8" w:rsidP="00FE02CE">
            <w:pPr>
              <w:ind w:left="1440" w:hanging="1440"/>
              <w:rPr>
                <w:rFonts w:ascii="Arial" w:hAnsi="Arial" w:cs="Arial"/>
              </w:rPr>
            </w:pPr>
            <w:proofErr w:type="spellStart"/>
            <w:r w:rsidRPr="00B53D5E">
              <w:rPr>
                <w:rFonts w:ascii="Arial" w:hAnsi="Arial" w:cs="Arial"/>
              </w:rPr>
              <w:t>Damir</w:t>
            </w:r>
            <w:proofErr w:type="spellEnd"/>
            <w:r w:rsidRPr="00B53D5E">
              <w:rPr>
                <w:rFonts w:ascii="Arial" w:hAnsi="Arial" w:cs="Arial"/>
              </w:rPr>
              <w:t xml:space="preserve"> </w:t>
            </w:r>
            <w:proofErr w:type="spellStart"/>
            <w:r w:rsidRPr="00B53D5E">
              <w:rPr>
                <w:rFonts w:ascii="Arial" w:hAnsi="Arial" w:cs="Arial"/>
              </w:rPr>
              <w:t>Marinovic</w:t>
            </w:r>
            <w:proofErr w:type="spellEnd"/>
            <w:r w:rsidRPr="00B53D5E">
              <w:rPr>
                <w:rFonts w:ascii="Arial" w:hAnsi="Arial" w:cs="Arial"/>
              </w:rPr>
              <w:t xml:space="preserve"> </w:t>
            </w:r>
          </w:p>
        </w:tc>
        <w:tc>
          <w:tcPr>
            <w:tcW w:w="791" w:type="dxa"/>
          </w:tcPr>
          <w:p w14:paraId="2F48756E" w14:textId="7A7F6235" w:rsidR="006506C8" w:rsidRPr="00B53D5E" w:rsidRDefault="006506C8" w:rsidP="008B53A7">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rPr>
            </w:pPr>
            <w:r w:rsidRPr="00B53D5E">
              <w:rPr>
                <w:rFonts w:ascii="Arial" w:hAnsi="Arial" w:cs="Arial"/>
              </w:rPr>
              <w:t>DM</w:t>
            </w:r>
          </w:p>
        </w:tc>
        <w:tc>
          <w:tcPr>
            <w:tcW w:w="3969" w:type="dxa"/>
          </w:tcPr>
          <w:p w14:paraId="09CDB875" w14:textId="1FE5A095" w:rsidR="006506C8" w:rsidRPr="00B53D5E" w:rsidRDefault="006506C8" w:rsidP="00AB3047">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rPr>
            </w:pPr>
            <w:r w:rsidRPr="00B53D5E">
              <w:rPr>
                <w:rFonts w:ascii="Arial" w:hAnsi="Arial" w:cs="Arial"/>
              </w:rPr>
              <w:t>Strategy and Policy Officer</w:t>
            </w:r>
          </w:p>
        </w:tc>
        <w:tc>
          <w:tcPr>
            <w:tcW w:w="1859" w:type="dxa"/>
          </w:tcPr>
          <w:p w14:paraId="342A1C86" w14:textId="2FB2D673" w:rsidR="006506C8" w:rsidRPr="00B53D5E" w:rsidRDefault="009D3581" w:rsidP="008B53A7">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 Attendance</w:t>
            </w:r>
          </w:p>
        </w:tc>
      </w:tr>
    </w:tbl>
    <w:p w14:paraId="0E74A00C" w14:textId="15E28E2C" w:rsidR="00A4093C" w:rsidRPr="00633835" w:rsidRDefault="00A4093C" w:rsidP="00B743E9">
      <w:pPr>
        <w:spacing w:line="240" w:lineRule="auto"/>
        <w:ind w:left="1440" w:hanging="1440"/>
        <w:rPr>
          <w:rFonts w:asciiTheme="minorHAnsi" w:hAnsiTheme="minorHAnsi"/>
          <w:b/>
          <w:caps/>
          <w:u w:val="single"/>
          <w:lang w:val="nl-NL"/>
        </w:rPr>
      </w:pPr>
      <w:r w:rsidRPr="00633835">
        <w:rPr>
          <w:lang w:val="nl-NL"/>
        </w:rPr>
        <w:br w:type="page"/>
      </w:r>
    </w:p>
    <w:p w14:paraId="3447D13D" w14:textId="0CE5010B" w:rsidR="008B0DF6" w:rsidRDefault="00A844BD" w:rsidP="008B0DF6">
      <w:pPr>
        <w:pStyle w:val="Heading1"/>
      </w:pPr>
      <w:bookmarkStart w:id="1" w:name="_Toc216544573"/>
      <w:r>
        <w:lastRenderedPageBreak/>
        <w:t>Minutes of the Previous Meeting</w:t>
      </w:r>
      <w:bookmarkEnd w:id="1"/>
    </w:p>
    <w:p w14:paraId="7B2E35B7" w14:textId="0A88CEA3" w:rsidR="00384FBE" w:rsidRPr="00066B4C" w:rsidRDefault="0096334B" w:rsidP="00384FBE">
      <w:r w:rsidRPr="00066B4C">
        <w:t>No minute validation</w:t>
      </w:r>
    </w:p>
    <w:p w14:paraId="2E545C89" w14:textId="6A4E6C5A" w:rsidR="000C7B10" w:rsidRPr="00A20A35" w:rsidRDefault="00A844BD" w:rsidP="00A20A35">
      <w:pPr>
        <w:pStyle w:val="Heading1"/>
      </w:pPr>
      <w:bookmarkStart w:id="2" w:name="_Toc216544574"/>
      <w:r>
        <w:t>Action Review</w:t>
      </w:r>
      <w:bookmarkEnd w:id="2"/>
      <w:r>
        <w:t xml:space="preserve"> </w:t>
      </w:r>
    </w:p>
    <w:p w14:paraId="30305910" w14:textId="15A89002" w:rsidR="001D4338" w:rsidRPr="00E14A78" w:rsidRDefault="0096334B" w:rsidP="00CF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066B4C">
        <w:t>No action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C7B10" w:rsidRPr="00AA5F5A" w14:paraId="34CD59A0" w14:textId="77777777" w:rsidTr="000C7B10">
        <w:trPr>
          <w:tblCellSpacing w:w="15" w:type="dxa"/>
        </w:trPr>
        <w:tc>
          <w:tcPr>
            <w:tcW w:w="0" w:type="auto"/>
            <w:vAlign w:val="center"/>
            <w:hideMark/>
          </w:tcPr>
          <w:p w14:paraId="756EC01F" w14:textId="77777777" w:rsidR="000C7B10" w:rsidRPr="00AA5F5A" w:rsidRDefault="000C7B10" w:rsidP="00AA5F5A"/>
        </w:tc>
      </w:tr>
    </w:tbl>
    <w:p w14:paraId="6922D2EF" w14:textId="77777777" w:rsidR="00C746B5" w:rsidRDefault="00C746B5" w:rsidP="00C746B5">
      <w:bookmarkStart w:id="3" w:name="1"/>
      <w:bookmarkEnd w:id="3"/>
    </w:p>
    <w:p w14:paraId="47A409CF" w14:textId="6448C42E" w:rsidR="00211BB4" w:rsidRPr="001B77E9" w:rsidRDefault="00211BB4" w:rsidP="00211BB4">
      <w:pPr>
        <w:pStyle w:val="Heading1"/>
        <w:spacing w:before="150" w:after="150"/>
      </w:pPr>
      <w:bookmarkStart w:id="4" w:name="_Toc216544575"/>
      <w:r w:rsidRPr="001B77E9">
        <w:t>Introduction EGI Excellence Science Policy</w:t>
      </w:r>
      <w:bookmarkEnd w:id="4"/>
    </w:p>
    <w:p w14:paraId="400B2E04" w14:textId="3335ED49" w:rsidR="00AC21AF" w:rsidRDefault="00E24B0E" w:rsidP="00E56A36">
      <w:r>
        <w:t xml:space="preserve">SN: </w:t>
      </w:r>
      <w:r w:rsidR="00080F68">
        <w:t xml:space="preserve">The </w:t>
      </w:r>
      <w:r>
        <w:t>EGI</w:t>
      </w:r>
      <w:r w:rsidR="00AC21AF">
        <w:t xml:space="preserve"> </w:t>
      </w:r>
      <w:r w:rsidR="00080F68">
        <w:t>C</w:t>
      </w:r>
      <w:r w:rsidR="00AC21AF">
        <w:t xml:space="preserve">ouncil is </w:t>
      </w:r>
      <w:r w:rsidR="006618CE">
        <w:t>particularly worried</w:t>
      </w:r>
      <w:r w:rsidR="00AC21AF">
        <w:t xml:space="preserve"> </w:t>
      </w:r>
      <w:r w:rsidR="006618CE">
        <w:t>on h</w:t>
      </w:r>
      <w:r w:rsidR="00AC21AF">
        <w:t xml:space="preserve">ow to find out what has be done on the </w:t>
      </w:r>
      <w:r w:rsidR="00063915">
        <w:t>infrastructure.</w:t>
      </w:r>
      <w:r w:rsidR="006B08FE">
        <w:t xml:space="preserve"> </w:t>
      </w:r>
      <w:r w:rsidR="006618CE">
        <w:t xml:space="preserve">There is a </w:t>
      </w:r>
      <w:r w:rsidR="00684F27">
        <w:t>pressu</w:t>
      </w:r>
      <w:r w:rsidR="006618CE">
        <w:t>r</w:t>
      </w:r>
      <w:r w:rsidR="00684F27">
        <w:t>e</w:t>
      </w:r>
      <w:r w:rsidR="006618CE">
        <w:t xml:space="preserve"> from funding bodies to present clear scientific</w:t>
      </w:r>
      <w:r w:rsidR="00AC21AF">
        <w:t xml:space="preserve"> </w:t>
      </w:r>
      <w:r w:rsidR="006618CE">
        <w:t>return</w:t>
      </w:r>
      <w:r w:rsidR="00AC21AF">
        <w:t xml:space="preserve"> on investment</w:t>
      </w:r>
      <w:r w:rsidR="006618CE">
        <w:t xml:space="preserve">. </w:t>
      </w:r>
      <w:r w:rsidR="00AC21AF">
        <w:t xml:space="preserve">Most of the researchers don’t tell us what </w:t>
      </w:r>
      <w:r w:rsidR="006618CE">
        <w:t>is there scientific out</w:t>
      </w:r>
      <w:r w:rsidR="006B08FE">
        <w:t>put</w:t>
      </w:r>
      <w:r w:rsidR="00AC21AF">
        <w:t xml:space="preserve"> using </w:t>
      </w:r>
      <w:r w:rsidR="006618CE">
        <w:t xml:space="preserve">the infrastructure. </w:t>
      </w:r>
      <w:proofErr w:type="spellStart"/>
      <w:r w:rsidR="00AC21AF">
        <w:t>OpenAIRE</w:t>
      </w:r>
      <w:proofErr w:type="spellEnd"/>
      <w:r w:rsidR="00AC21AF">
        <w:t xml:space="preserve"> </w:t>
      </w:r>
      <w:r w:rsidR="00CF2288">
        <w:t>can be used so deposit metadata of scientific</w:t>
      </w:r>
      <w:r w:rsidR="00AC21AF">
        <w:t xml:space="preserve"> paper</w:t>
      </w:r>
      <w:r w:rsidR="00CF2288">
        <w:t>s</w:t>
      </w:r>
      <w:r w:rsidR="006B08FE">
        <w:t>,</w:t>
      </w:r>
      <w:r w:rsidR="00AC21AF">
        <w:t xml:space="preserve"> if not </w:t>
      </w:r>
      <w:r w:rsidR="00CF2288">
        <w:t xml:space="preserve">the very paper. This should be done in order </w:t>
      </w:r>
      <w:r w:rsidR="00AC21AF">
        <w:t xml:space="preserve">to demonstrate </w:t>
      </w:r>
      <w:r w:rsidR="00CF2288">
        <w:t>what</w:t>
      </w:r>
      <w:r w:rsidR="00AC21AF">
        <w:t xml:space="preserve"> comes from </w:t>
      </w:r>
      <w:r w:rsidR="00CF2288">
        <w:t xml:space="preserve">using </w:t>
      </w:r>
      <w:r w:rsidR="00AC21AF">
        <w:t xml:space="preserve">EGI, </w:t>
      </w:r>
      <w:r w:rsidR="00CF2288">
        <w:t xml:space="preserve">information on </w:t>
      </w:r>
      <w:r w:rsidR="00AC21AF">
        <w:t>particular VO and re</w:t>
      </w:r>
      <w:r w:rsidR="00CF2288">
        <w:t xml:space="preserve">lated information on where it is produced. </w:t>
      </w:r>
      <w:r w:rsidR="00080F68">
        <w:t>This obligation</w:t>
      </w:r>
      <w:r w:rsidR="0027461E">
        <w:t xml:space="preserve"> </w:t>
      </w:r>
      <w:r w:rsidR="00AC21AF">
        <w:t xml:space="preserve">has to be </w:t>
      </w:r>
      <w:r w:rsidR="0027461E">
        <w:t>embodied</w:t>
      </w:r>
      <w:r w:rsidR="00BE69FE">
        <w:t xml:space="preserve"> in in </w:t>
      </w:r>
      <w:r w:rsidR="00BE69FE" w:rsidRPr="008C4711">
        <w:t>appropriate</w:t>
      </w:r>
      <w:r w:rsidR="00AC21AF" w:rsidRPr="008C4711">
        <w:t xml:space="preserve"> VO </w:t>
      </w:r>
      <w:r w:rsidR="008C4711">
        <w:t xml:space="preserve">AUP </w:t>
      </w:r>
      <w:r w:rsidR="00AC21AF" w:rsidRPr="008C4711">
        <w:t xml:space="preserve">policy or </w:t>
      </w:r>
      <w:r w:rsidR="00BE69FE" w:rsidRPr="008C4711">
        <w:t>Grid Acceptable Use Policy (</w:t>
      </w:r>
      <w:r w:rsidR="00AC21AF" w:rsidRPr="008C4711">
        <w:t>AUP</w:t>
      </w:r>
      <w:r w:rsidR="00BE69FE" w:rsidRPr="008C4711">
        <w:t>)</w:t>
      </w:r>
      <w:r w:rsidR="00AC21AF" w:rsidRPr="008C4711">
        <w:t xml:space="preserve"> </w:t>
      </w:r>
      <w:r w:rsidR="00080F68">
        <w:t xml:space="preserve">so as </w:t>
      </w:r>
      <w:r w:rsidR="00AC21AF" w:rsidRPr="008C4711">
        <w:t>to reinforce requirement</w:t>
      </w:r>
      <w:r w:rsidR="00BE69FE" w:rsidRPr="008C4711">
        <w:t xml:space="preserve">s </w:t>
      </w:r>
      <w:r w:rsidR="008C4711">
        <w:t xml:space="preserve">to </w:t>
      </w:r>
      <w:r w:rsidR="00BE69FE" w:rsidRPr="008C4711">
        <w:t>the user acknowledging</w:t>
      </w:r>
      <w:r w:rsidR="00AC21AF" w:rsidRPr="008C4711">
        <w:t xml:space="preserve"> using of EGI for </w:t>
      </w:r>
      <w:r w:rsidR="002B66D0" w:rsidRPr="008C4711">
        <w:t>accomplishing</w:t>
      </w:r>
      <w:r w:rsidR="00BE69FE" w:rsidRPr="008C4711">
        <w:t xml:space="preserve"> their </w:t>
      </w:r>
      <w:r w:rsidR="00AC21AF" w:rsidRPr="008C4711">
        <w:t>scientific</w:t>
      </w:r>
      <w:r w:rsidR="00AC21AF">
        <w:t xml:space="preserve"> </w:t>
      </w:r>
      <w:r w:rsidR="00BE69FE">
        <w:t>achievements</w:t>
      </w:r>
      <w:r w:rsidR="00AC21AF">
        <w:t>. The question</w:t>
      </w:r>
      <w:r w:rsidR="007C395C">
        <w:t xml:space="preserve"> is than what are the appropriate</w:t>
      </w:r>
      <w:r w:rsidR="00AC21AF">
        <w:t xml:space="preserve"> mechanism</w:t>
      </w:r>
      <w:r w:rsidR="007C395C">
        <w:t>s</w:t>
      </w:r>
      <w:r w:rsidR="00AC21AF">
        <w:t xml:space="preserve"> to implement </w:t>
      </w:r>
      <w:r w:rsidR="007C395C">
        <w:t xml:space="preserve">it </w:t>
      </w:r>
      <w:r w:rsidR="00AC21AF">
        <w:t>in terms of policy</w:t>
      </w:r>
      <w:r w:rsidR="007C395C">
        <w:t xml:space="preserve"> </w:t>
      </w:r>
      <w:r w:rsidR="00AC21AF">
        <w:t>documents</w:t>
      </w:r>
      <w:r w:rsidR="00080F68">
        <w:t>? W</w:t>
      </w:r>
      <w:r w:rsidR="00AC21AF">
        <w:t>hat ar</w:t>
      </w:r>
      <w:r w:rsidR="007C395C">
        <w:t xml:space="preserve">e the </w:t>
      </w:r>
      <w:r w:rsidR="00C2202A">
        <w:t>appropriate mechanisms</w:t>
      </w:r>
      <w:r w:rsidR="00AC21AF">
        <w:t xml:space="preserve"> to be </w:t>
      </w:r>
      <w:r w:rsidR="007C395C">
        <w:t>rolled</w:t>
      </w:r>
      <w:r w:rsidR="00AC21AF">
        <w:t xml:space="preserve"> out to VOs</w:t>
      </w:r>
      <w:r w:rsidR="00080F68">
        <w:t>?</w:t>
      </w:r>
      <w:r w:rsidR="00AC21AF">
        <w:t xml:space="preserve"> </w:t>
      </w:r>
    </w:p>
    <w:p w14:paraId="6DBD41BB" w14:textId="36DCC670" w:rsidR="004D5502" w:rsidRDefault="004D5502" w:rsidP="00E56A36">
      <w:pPr>
        <w:pStyle w:val="Heading1"/>
      </w:pPr>
      <w:bookmarkStart w:id="5" w:name="_Toc216544576"/>
      <w:r w:rsidRPr="00C746B5">
        <w:t>Discus</w:t>
      </w:r>
      <w:r>
        <w:t>s</w:t>
      </w:r>
      <w:r w:rsidRPr="00C746B5">
        <w:t>ion</w:t>
      </w:r>
      <w:bookmarkEnd w:id="5"/>
    </w:p>
    <w:p w14:paraId="702C1CAD" w14:textId="77777777" w:rsidR="009C3A68" w:rsidRDefault="00AC21AF" w:rsidP="00E56A36">
      <w:pPr>
        <w:spacing w:after="0" w:line="240" w:lineRule="auto"/>
      </w:pPr>
      <w:r>
        <w:t xml:space="preserve">DK: </w:t>
      </w:r>
      <w:r w:rsidR="00AC4BAA">
        <w:t>Paper talks</w:t>
      </w:r>
      <w:r w:rsidR="00673A61">
        <w:t xml:space="preserve"> about having resource allocation </w:t>
      </w:r>
      <w:r w:rsidR="009C3A68">
        <w:t>mechanism,</w:t>
      </w:r>
      <w:r w:rsidR="00673A61">
        <w:t xml:space="preserve"> </w:t>
      </w:r>
      <w:r w:rsidR="009C3A68">
        <w:t xml:space="preserve">it seems </w:t>
      </w:r>
      <w:r w:rsidR="00673A61">
        <w:t>there is absolute requirement</w:t>
      </w:r>
      <w:r w:rsidR="009C3A68">
        <w:t xml:space="preserve"> to acknowledge the use in this case. </w:t>
      </w:r>
    </w:p>
    <w:p w14:paraId="6DDB16BF" w14:textId="08045992" w:rsidR="00673A61" w:rsidRDefault="00673A61" w:rsidP="00E56A36">
      <w:pPr>
        <w:spacing w:after="0" w:line="240" w:lineRule="auto"/>
      </w:pPr>
      <w:r>
        <w:t xml:space="preserve">SN: One is to explore </w:t>
      </w:r>
      <w:r w:rsidR="009C3A68">
        <w:t xml:space="preserve">established PRACE like model, with </w:t>
      </w:r>
      <w:proofErr w:type="spellStart"/>
      <w:r w:rsidR="009C3A68">
        <w:t>centralis</w:t>
      </w:r>
      <w:r>
        <w:t>e</w:t>
      </w:r>
      <w:r w:rsidR="009C3A68">
        <w:t>d</w:t>
      </w:r>
      <w:proofErr w:type="spellEnd"/>
      <w:r w:rsidR="009C3A68">
        <w:t xml:space="preserve"> peer review allocation. </w:t>
      </w:r>
    </w:p>
    <w:p w14:paraId="094DB56B" w14:textId="0457737D" w:rsidR="00673A61" w:rsidRPr="003A0A21" w:rsidRDefault="00673A61" w:rsidP="00E56A36">
      <w:pPr>
        <w:spacing w:after="0" w:line="240" w:lineRule="auto"/>
      </w:pPr>
      <w:r>
        <w:t>LC</w:t>
      </w:r>
      <w:r w:rsidR="009C3A68">
        <w:t>:</w:t>
      </w:r>
      <w:r>
        <w:t xml:space="preserve"> Possible you need different phases of </w:t>
      </w:r>
      <w:r w:rsidR="009C3A68">
        <w:t>acknowledging,</w:t>
      </w:r>
      <w:r>
        <w:t xml:space="preserve"> use of resources </w:t>
      </w:r>
      <w:r w:rsidR="006E42A7">
        <w:t xml:space="preserve">can only </w:t>
      </w:r>
      <w:r w:rsidR="003A0A21">
        <w:t>be partly</w:t>
      </w:r>
      <w:r w:rsidR="006E42A7">
        <w:t xml:space="preserve"> from the EGI infrastructure, thus, </w:t>
      </w:r>
      <w:r>
        <w:t>lower and higher level of acknowledgment</w:t>
      </w:r>
      <w:r w:rsidR="006E42A7">
        <w:t>. Mayb</w:t>
      </w:r>
      <w:r>
        <w:t xml:space="preserve">e we </w:t>
      </w:r>
      <w:r w:rsidR="006E42A7">
        <w:t xml:space="preserve">would </w:t>
      </w:r>
      <w:r>
        <w:t>ne</w:t>
      </w:r>
      <w:r w:rsidR="006E42A7">
        <w:t xml:space="preserve">ed more than </w:t>
      </w:r>
      <w:r w:rsidR="006E42A7" w:rsidRPr="003A0A21">
        <w:t xml:space="preserve">one phrase. </w:t>
      </w:r>
    </w:p>
    <w:p w14:paraId="5CB0BC11" w14:textId="29F63969" w:rsidR="00673A61" w:rsidRDefault="00673A61" w:rsidP="00E56A36">
      <w:pPr>
        <w:spacing w:after="0" w:line="240" w:lineRule="auto"/>
      </w:pPr>
      <w:r w:rsidRPr="003A0A21">
        <w:t>SN</w:t>
      </w:r>
      <w:r w:rsidR="006E42A7" w:rsidRPr="003A0A21">
        <w:t>:  W</w:t>
      </w:r>
      <w:r w:rsidRPr="003A0A21">
        <w:t xml:space="preserve">e </w:t>
      </w:r>
      <w:r w:rsidR="006E42A7" w:rsidRPr="003A0A21">
        <w:t>also</w:t>
      </w:r>
      <w:r w:rsidRPr="003A0A21">
        <w:t xml:space="preserve"> need to </w:t>
      </w:r>
      <w:r w:rsidR="006E42A7" w:rsidRPr="003A0A21">
        <w:t>know since use of</w:t>
      </w:r>
      <w:r w:rsidRPr="003A0A21">
        <w:t xml:space="preserve"> VO resources </w:t>
      </w:r>
      <w:r w:rsidR="006E42A7" w:rsidRPr="003A0A21">
        <w:t>is not clear.</w:t>
      </w:r>
      <w:r w:rsidR="006E42A7">
        <w:t xml:space="preserve"> </w:t>
      </w:r>
    </w:p>
    <w:p w14:paraId="14F60330" w14:textId="77777777" w:rsidR="006E42A7" w:rsidRDefault="006E42A7" w:rsidP="00E56A36">
      <w:pPr>
        <w:spacing w:after="0" w:line="240" w:lineRule="auto"/>
      </w:pPr>
    </w:p>
    <w:p w14:paraId="6E9B498C" w14:textId="4EB58403" w:rsidR="00E20B71" w:rsidRDefault="006E42A7" w:rsidP="00E56A36">
      <w:pPr>
        <w:spacing w:after="0" w:line="240" w:lineRule="auto"/>
      </w:pPr>
      <w:r>
        <w:t>SA</w:t>
      </w:r>
      <w:r w:rsidR="00673A61">
        <w:t xml:space="preserve">: </w:t>
      </w:r>
      <w:r>
        <w:t>R</w:t>
      </w:r>
      <w:r w:rsidR="0070455D">
        <w:t xml:space="preserve">eport from </w:t>
      </w:r>
      <w:r w:rsidR="00EF03DD">
        <w:t xml:space="preserve">the </w:t>
      </w:r>
      <w:hyperlink r:id="rId9" w:history="1">
        <w:r w:rsidR="00EF03DD" w:rsidRPr="00E20B71">
          <w:rPr>
            <w:rStyle w:val="Hyperlink"/>
          </w:rPr>
          <w:t>VT EGI Scientific Publications Repository - Recommendations</w:t>
        </w:r>
      </w:hyperlink>
      <w:r w:rsidR="0070455D">
        <w:t xml:space="preserve"> </w:t>
      </w:r>
      <w:r w:rsidR="00372B31">
        <w:t xml:space="preserve">- </w:t>
      </w:r>
      <w:r w:rsidR="00EF03DD">
        <w:t xml:space="preserve">recommendation </w:t>
      </w:r>
      <w:r w:rsidR="0070455D">
        <w:t>number 4</w:t>
      </w:r>
      <w:r w:rsidR="00EF03DD">
        <w:t xml:space="preserve"> </w:t>
      </w:r>
      <w:r w:rsidR="00E20B71">
        <w:t xml:space="preserve">states to </w:t>
      </w:r>
      <w:r w:rsidR="00E20B71" w:rsidRPr="00E20B71">
        <w:t>add the</w:t>
      </w:r>
      <w:r w:rsidR="00372B31">
        <w:t xml:space="preserve"> acknowledgment</w:t>
      </w:r>
      <w:r w:rsidR="00E20B71" w:rsidRPr="00E20B71">
        <w:t xml:space="preserve"> article to the </w:t>
      </w:r>
      <w:r w:rsidR="00372B31">
        <w:t>AUP</w:t>
      </w:r>
      <w:r w:rsidR="00E20B71">
        <w:t>.</w:t>
      </w:r>
      <w:r w:rsidR="00EF03DD">
        <w:t xml:space="preserve"> </w:t>
      </w:r>
      <w:r w:rsidR="0070455D">
        <w:t xml:space="preserve"> XSEDE </w:t>
      </w:r>
      <w:r w:rsidR="00080F68">
        <w:t xml:space="preserve">also </w:t>
      </w:r>
      <w:r w:rsidR="00E20B71">
        <w:t xml:space="preserve">has </w:t>
      </w:r>
      <w:r w:rsidR="00080F68">
        <w:t xml:space="preserve">an acknowledgement </w:t>
      </w:r>
      <w:r w:rsidR="00E20B71">
        <w:t xml:space="preserve">as a requirement. </w:t>
      </w:r>
      <w:r w:rsidR="0070455D">
        <w:t xml:space="preserve">We need to find </w:t>
      </w:r>
      <w:r w:rsidR="00E20B71">
        <w:t>the way</w:t>
      </w:r>
      <w:r w:rsidR="0070455D">
        <w:t xml:space="preserve"> to extend AUP to EGI cases. </w:t>
      </w:r>
    </w:p>
    <w:p w14:paraId="7EA13106" w14:textId="759B1BDE" w:rsidR="00E20B71" w:rsidRDefault="0070455D" w:rsidP="00E56A36">
      <w:pPr>
        <w:spacing w:after="0" w:line="240" w:lineRule="auto"/>
      </w:pPr>
      <w:r>
        <w:t>DK</w:t>
      </w:r>
      <w:r w:rsidR="00E20B71">
        <w:t>:</w:t>
      </w:r>
      <w:r w:rsidR="00D9382E">
        <w:t xml:space="preserve"> XSEDE case is clearer.</w:t>
      </w:r>
    </w:p>
    <w:p w14:paraId="7F36EE2D" w14:textId="77777777" w:rsidR="00E20B71" w:rsidRDefault="0070455D" w:rsidP="00E56A36">
      <w:pPr>
        <w:spacing w:after="0" w:line="240" w:lineRule="auto"/>
      </w:pPr>
      <w:r>
        <w:t>SA</w:t>
      </w:r>
      <w:r w:rsidR="00E20B71">
        <w:t xml:space="preserve">: </w:t>
      </w:r>
      <w:r>
        <w:t xml:space="preserve">Still they have it in </w:t>
      </w:r>
      <w:r w:rsidR="00E20B71">
        <w:t xml:space="preserve">the </w:t>
      </w:r>
      <w:r>
        <w:t>AUP</w:t>
      </w:r>
      <w:r w:rsidR="00E20B71">
        <w:t>.</w:t>
      </w:r>
      <w:r>
        <w:t xml:space="preserve">    </w:t>
      </w:r>
    </w:p>
    <w:p w14:paraId="1FF89BFF" w14:textId="16626DA2" w:rsidR="00673A61" w:rsidRDefault="0070455D" w:rsidP="00E56A36">
      <w:pPr>
        <w:spacing w:after="0" w:line="240" w:lineRule="auto"/>
      </w:pPr>
      <w:r>
        <w:t>DK</w:t>
      </w:r>
      <w:r w:rsidR="00372E9A">
        <w:t>:</w:t>
      </w:r>
      <w:r w:rsidR="00A147C6">
        <w:t xml:space="preserve"> AUP is forced at</w:t>
      </w:r>
      <w:r>
        <w:t xml:space="preserve"> point to register or to register to VO</w:t>
      </w:r>
      <w:r w:rsidR="00A147C6">
        <w:t xml:space="preserve">. </w:t>
      </w:r>
      <w:r>
        <w:t xml:space="preserve"> We have many resources used everywhere </w:t>
      </w:r>
      <w:r w:rsidR="00D9382E">
        <w:t xml:space="preserve">and </w:t>
      </w:r>
      <w:r>
        <w:t xml:space="preserve">I am worrying about imposing </w:t>
      </w:r>
      <w:r w:rsidR="00A147C6">
        <w:t xml:space="preserve">this all over the globe. </w:t>
      </w:r>
      <w:r>
        <w:t>Maybe</w:t>
      </w:r>
      <w:r w:rsidR="00A147C6">
        <w:t xml:space="preserve"> it shouldn’t </w:t>
      </w:r>
      <w:r w:rsidR="00D9382E">
        <w:t xml:space="preserve">be </w:t>
      </w:r>
      <w:r>
        <w:t xml:space="preserve">explicit </w:t>
      </w:r>
      <w:r w:rsidR="00D9382E">
        <w:t>statement?</w:t>
      </w:r>
      <w:r w:rsidR="00A147C6">
        <w:t xml:space="preserve"> </w:t>
      </w:r>
      <w:r w:rsidR="00680B32">
        <w:t xml:space="preserve">  Where is the </w:t>
      </w:r>
      <w:r w:rsidR="00A147C6">
        <w:t>best</w:t>
      </w:r>
      <w:r w:rsidR="00680B32">
        <w:t xml:space="preserve"> place</w:t>
      </w:r>
      <w:r w:rsidR="00A147C6">
        <w:t xml:space="preserve"> to have it? S</w:t>
      </w:r>
      <w:r w:rsidR="00680B32">
        <w:t xml:space="preserve">ure we can put it in </w:t>
      </w:r>
      <w:r w:rsidR="00D9382E">
        <w:t xml:space="preserve">the </w:t>
      </w:r>
      <w:r w:rsidR="00680B32">
        <w:t xml:space="preserve">AUP </w:t>
      </w:r>
      <w:r w:rsidR="00A147C6">
        <w:t xml:space="preserve">but </w:t>
      </w:r>
      <w:r w:rsidR="00680B32">
        <w:t xml:space="preserve">what will do </w:t>
      </w:r>
      <w:r w:rsidR="00D9382E">
        <w:t xml:space="preserve">this </w:t>
      </w:r>
      <w:r w:rsidR="00680B32">
        <w:t xml:space="preserve">to users </w:t>
      </w:r>
      <w:r w:rsidR="00A147C6">
        <w:t xml:space="preserve">registered elsewhere? </w:t>
      </w:r>
    </w:p>
    <w:p w14:paraId="33E1AF8C" w14:textId="5192EA8A" w:rsidR="00A7781E" w:rsidRDefault="00680B32" w:rsidP="00E56A36">
      <w:pPr>
        <w:spacing w:after="0" w:line="240" w:lineRule="auto"/>
      </w:pPr>
      <w:r>
        <w:t>SN</w:t>
      </w:r>
      <w:r w:rsidR="00A147C6">
        <w:t xml:space="preserve">: We have </w:t>
      </w:r>
      <w:r w:rsidR="00A147C6" w:rsidRPr="005A1BFF">
        <w:t>n</w:t>
      </w:r>
      <w:r w:rsidRPr="005A1BFF">
        <w:t>a</w:t>
      </w:r>
      <w:r w:rsidR="00A147C6" w:rsidRPr="005A1BFF">
        <w:t>tional</w:t>
      </w:r>
      <w:r w:rsidR="005A1BFF" w:rsidRPr="005A1BFF">
        <w:t xml:space="preserve"> VOs and</w:t>
      </w:r>
      <w:r w:rsidRPr="005A1BFF">
        <w:t xml:space="preserve"> </w:t>
      </w:r>
      <w:r w:rsidR="00A147C6" w:rsidRPr="005A1BFF">
        <w:t>international</w:t>
      </w:r>
      <w:r w:rsidRPr="005A1BFF">
        <w:t xml:space="preserve"> VOs</w:t>
      </w:r>
      <w:r w:rsidR="005A1BFF" w:rsidRPr="005A1BFF">
        <w:t xml:space="preserve">. </w:t>
      </w:r>
      <w:r w:rsidRPr="005A1BFF">
        <w:t xml:space="preserve">Maybe </w:t>
      </w:r>
      <w:r w:rsidR="00A7781E" w:rsidRPr="005A1BFF">
        <w:t xml:space="preserve">to have </w:t>
      </w:r>
      <w:r w:rsidR="00A147C6" w:rsidRPr="005A1BFF">
        <w:t>slightly</w:t>
      </w:r>
      <w:r w:rsidRPr="005A1BFF">
        <w:t xml:space="preserve"> </w:t>
      </w:r>
      <w:r w:rsidR="00A147C6" w:rsidRPr="005A1BFF">
        <w:t>different</w:t>
      </w:r>
      <w:r w:rsidRPr="005A1BFF">
        <w:t xml:space="preserve"> terminolog</w:t>
      </w:r>
      <w:r w:rsidR="00A7781E" w:rsidRPr="005A1BFF">
        <w:t>y i</w:t>
      </w:r>
      <w:r w:rsidRPr="005A1BFF">
        <w:t>f it is national</w:t>
      </w:r>
      <w:r w:rsidR="00A7781E" w:rsidRPr="005A1BFF">
        <w:t xml:space="preserve"> VO since it </w:t>
      </w:r>
      <w:r w:rsidR="005A1BFF">
        <w:t>is related</w:t>
      </w:r>
      <w:r w:rsidR="00A7781E" w:rsidRPr="005A1BFF">
        <w:t xml:space="preserve"> to NGIs.</w:t>
      </w:r>
      <w:r>
        <w:t xml:space="preserve">   </w:t>
      </w:r>
    </w:p>
    <w:p w14:paraId="6D5E6A08" w14:textId="77777777" w:rsidR="00A7781E" w:rsidRDefault="00680B32" w:rsidP="00E56A36">
      <w:pPr>
        <w:spacing w:after="0" w:line="240" w:lineRule="auto"/>
      </w:pPr>
      <w:r>
        <w:t>DK</w:t>
      </w:r>
      <w:r w:rsidR="00A7781E">
        <w:t>:  A</w:t>
      </w:r>
      <w:r>
        <w:t>ppropriate</w:t>
      </w:r>
      <w:r w:rsidR="00A7781E">
        <w:t xml:space="preserve"> </w:t>
      </w:r>
      <w:r>
        <w:t xml:space="preserve">phrase </w:t>
      </w:r>
      <w:r w:rsidR="00A7781E">
        <w:t>usually includes acknowledgment</w:t>
      </w:r>
      <w:r>
        <w:t xml:space="preserve"> </w:t>
      </w:r>
      <w:r w:rsidR="00A7781E">
        <w:t xml:space="preserve">of </w:t>
      </w:r>
      <w:r>
        <w:t>funding agency</w:t>
      </w:r>
      <w:r w:rsidR="00A7781E">
        <w:t>.</w:t>
      </w:r>
      <w:r>
        <w:t xml:space="preserve">   </w:t>
      </w:r>
    </w:p>
    <w:p w14:paraId="3A8DFBBC" w14:textId="08B41093" w:rsidR="00680B32" w:rsidRDefault="00680B32" w:rsidP="00E56A36">
      <w:pPr>
        <w:spacing w:after="0" w:line="240" w:lineRule="auto"/>
      </w:pPr>
      <w:r>
        <w:lastRenderedPageBreak/>
        <w:t>SN</w:t>
      </w:r>
      <w:r w:rsidR="00A7781E">
        <w:t>: O</w:t>
      </w:r>
      <w:r w:rsidR="00667057">
        <w:t>nly one</w:t>
      </w:r>
      <w:r>
        <w:t xml:space="preserve"> aspect </w:t>
      </w:r>
      <w:r w:rsidR="00667057">
        <w:t xml:space="preserve">is </w:t>
      </w:r>
      <w:r>
        <w:t>to capture the scientific output and associate i</w:t>
      </w:r>
      <w:r w:rsidR="005A1BFF">
        <w:t>t to organization.</w:t>
      </w:r>
      <w:r w:rsidR="007752A8">
        <w:t xml:space="preserve"> </w:t>
      </w:r>
    </w:p>
    <w:p w14:paraId="3EFDA05E" w14:textId="77777777" w:rsidR="00667057" w:rsidRDefault="007752A8" w:rsidP="00E56A36">
      <w:pPr>
        <w:spacing w:after="0" w:line="240" w:lineRule="auto"/>
      </w:pPr>
      <w:r>
        <w:t xml:space="preserve">MD: ESA integrated </w:t>
      </w:r>
      <w:r w:rsidR="00667057">
        <w:t>acknowledgment in SLAs.</w:t>
      </w:r>
      <w:r>
        <w:t xml:space="preserve"> </w:t>
      </w:r>
    </w:p>
    <w:p w14:paraId="2D2FB1B2" w14:textId="02CF56A7" w:rsidR="007752A8" w:rsidRDefault="007752A8" w:rsidP="00E56A36">
      <w:pPr>
        <w:spacing w:after="0" w:line="240" w:lineRule="auto"/>
      </w:pPr>
      <w:r>
        <w:t>SN</w:t>
      </w:r>
      <w:r w:rsidR="00667057">
        <w:t>:</w:t>
      </w:r>
      <w:r>
        <w:t xml:space="preserve"> AUP is</w:t>
      </w:r>
      <w:r w:rsidR="00EB529D">
        <w:t xml:space="preserve"> the only thing</w:t>
      </w:r>
      <w:r w:rsidR="00667057">
        <w:t xml:space="preserve"> user </w:t>
      </w:r>
      <w:r w:rsidR="00EB529D">
        <w:t xml:space="preserve">actually </w:t>
      </w:r>
      <w:r w:rsidR="00667057">
        <w:t>clicks</w:t>
      </w:r>
      <w:r>
        <w:t xml:space="preserve"> </w:t>
      </w:r>
      <w:r w:rsidR="00990F78">
        <w:t xml:space="preserve">on </w:t>
      </w:r>
      <w:r>
        <w:t xml:space="preserve">and user </w:t>
      </w:r>
      <w:r w:rsidR="00990F78">
        <w:t>is the one</w:t>
      </w:r>
      <w:r w:rsidR="00667057">
        <w:t xml:space="preserve"> </w:t>
      </w:r>
      <w:r>
        <w:t>submitting papers</w:t>
      </w:r>
      <w:r w:rsidR="00EB529D">
        <w:t>.</w:t>
      </w:r>
      <w:r>
        <w:t xml:space="preserve"> </w:t>
      </w:r>
    </w:p>
    <w:p w14:paraId="43749DB2" w14:textId="7BFC937E" w:rsidR="00EC5600" w:rsidRDefault="007752A8" w:rsidP="00E56A36">
      <w:pPr>
        <w:spacing w:after="0" w:line="240" w:lineRule="auto"/>
      </w:pPr>
      <w:r w:rsidRPr="00602C38">
        <w:t>DK</w:t>
      </w:r>
      <w:r w:rsidR="00602C38" w:rsidRPr="00602C38">
        <w:t>:</w:t>
      </w:r>
      <w:r w:rsidRPr="00602C38">
        <w:t xml:space="preserve"> </w:t>
      </w:r>
      <w:r w:rsidR="00602C38" w:rsidRPr="00602C38">
        <w:t>O</w:t>
      </w:r>
      <w:r w:rsidRPr="00602C38">
        <w:t>n some level you can say that EGI doesn’t own any resources</w:t>
      </w:r>
      <w:r w:rsidR="00EC5600">
        <w:t xml:space="preserve">. </w:t>
      </w:r>
      <w:r w:rsidR="002F2771">
        <w:t>Do we want some hard wire</w:t>
      </w:r>
      <w:r w:rsidR="00080F68">
        <w:t>d</w:t>
      </w:r>
      <w:r w:rsidR="002F2771">
        <w:t xml:space="preserve"> statement or we put policy requirement YOU MUST follow…</w:t>
      </w:r>
      <w:r w:rsidR="00080F68">
        <w:t>?</w:t>
      </w:r>
      <w:r w:rsidR="002F2771">
        <w:t xml:space="preserve">   </w:t>
      </w:r>
    </w:p>
    <w:p w14:paraId="50E2C4E5" w14:textId="77777777" w:rsidR="00EC5600" w:rsidRDefault="002F2771" w:rsidP="00E56A36">
      <w:pPr>
        <w:spacing w:after="0" w:line="240" w:lineRule="auto"/>
      </w:pPr>
      <w:r>
        <w:t>SN</w:t>
      </w:r>
      <w:r w:rsidR="00EC5600">
        <w:t>: D</w:t>
      </w:r>
      <w:r>
        <w:t>oes anybody read AUP</w:t>
      </w:r>
      <w:r w:rsidR="00EC5600">
        <w:t>?</w:t>
      </w:r>
      <w:r>
        <w:t xml:space="preserve"> </w:t>
      </w:r>
    </w:p>
    <w:p w14:paraId="4223AD73" w14:textId="3DF19478" w:rsidR="00EC5600" w:rsidRDefault="002F2771" w:rsidP="00E56A36">
      <w:pPr>
        <w:spacing w:after="0" w:line="240" w:lineRule="auto"/>
      </w:pPr>
      <w:r>
        <w:t>DK</w:t>
      </w:r>
      <w:r w:rsidR="00EC5600">
        <w:t>:</w:t>
      </w:r>
      <w:r>
        <w:t xml:space="preserve"> Actually</w:t>
      </w:r>
      <w:r w:rsidR="006E6A1E">
        <w:t>,</w:t>
      </w:r>
      <w:r>
        <w:t xml:space="preserve"> some tend to do </w:t>
      </w:r>
      <w:r w:rsidR="00EC5600">
        <w:t>and to comment on it.</w:t>
      </w:r>
      <w:r>
        <w:t xml:space="preserve">  </w:t>
      </w:r>
    </w:p>
    <w:p w14:paraId="29281BD4" w14:textId="24965250" w:rsidR="00BA59FB" w:rsidRDefault="006E6A1E" w:rsidP="00E56A36">
      <w:pPr>
        <w:spacing w:after="0" w:line="240" w:lineRule="auto"/>
      </w:pPr>
      <w:r>
        <w:t>S</w:t>
      </w:r>
      <w:r w:rsidR="00080F68">
        <w:t>N</w:t>
      </w:r>
      <w:r w:rsidR="00EC5600">
        <w:t xml:space="preserve">: </w:t>
      </w:r>
      <w:r w:rsidR="002F2771">
        <w:t xml:space="preserve">Problem </w:t>
      </w:r>
      <w:r w:rsidR="00BA59FB">
        <w:t xml:space="preserve">is that </w:t>
      </w:r>
      <w:r w:rsidR="002F2771">
        <w:t xml:space="preserve">I will start to </w:t>
      </w:r>
      <w:r w:rsidR="00BA59FB">
        <w:t xml:space="preserve">search what </w:t>
      </w:r>
      <w:r w:rsidR="002F2771">
        <w:t xml:space="preserve">users </w:t>
      </w:r>
      <w:r w:rsidR="00BA59FB">
        <w:t xml:space="preserve">are </w:t>
      </w:r>
      <w:r w:rsidR="002F2771">
        <w:t xml:space="preserve">from which VOs in </w:t>
      </w:r>
      <w:proofErr w:type="spellStart"/>
      <w:r w:rsidR="002F2771">
        <w:t>OpenAIRE</w:t>
      </w:r>
      <w:proofErr w:type="spellEnd"/>
      <w:r w:rsidR="00BA59FB">
        <w:t>. I</w:t>
      </w:r>
      <w:r w:rsidR="002F2771">
        <w:t>f I don’t find papers in</w:t>
      </w:r>
      <w:r w:rsidR="00BA59FB">
        <w:t xml:space="preserve"> </w:t>
      </w:r>
      <w:r w:rsidR="00F8247B">
        <w:t xml:space="preserve">there </w:t>
      </w:r>
      <w:r w:rsidR="002F2771">
        <w:t xml:space="preserve">I would look to disable these VOs from </w:t>
      </w:r>
      <w:r w:rsidR="00BA59FB">
        <w:t xml:space="preserve">the </w:t>
      </w:r>
      <w:r w:rsidR="002F2771">
        <w:t>infrastructure</w:t>
      </w:r>
      <w:r w:rsidR="00BA59FB">
        <w:t>.</w:t>
      </w:r>
    </w:p>
    <w:p w14:paraId="6FB4C783" w14:textId="77777777" w:rsidR="00BA59FB" w:rsidRDefault="00BA59FB" w:rsidP="00E56A36">
      <w:pPr>
        <w:spacing w:after="0" w:line="240" w:lineRule="auto"/>
      </w:pPr>
      <w:r>
        <w:t xml:space="preserve">LC: </w:t>
      </w:r>
      <w:r w:rsidR="00560FCF">
        <w:t xml:space="preserve">They need to mention </w:t>
      </w:r>
      <w:proofErr w:type="spellStart"/>
      <w:r w:rsidR="00560FCF">
        <w:t>OpenAIRE</w:t>
      </w:r>
      <w:proofErr w:type="spellEnd"/>
      <w:r>
        <w:t>?</w:t>
      </w:r>
      <w:r w:rsidR="00560FCF">
        <w:t xml:space="preserve"> </w:t>
      </w:r>
    </w:p>
    <w:p w14:paraId="1C64976F" w14:textId="051F3461" w:rsidR="00F32EE4" w:rsidRDefault="00560FCF" w:rsidP="00E56A36">
      <w:pPr>
        <w:spacing w:after="0" w:line="240" w:lineRule="auto"/>
      </w:pPr>
      <w:r>
        <w:t>SN</w:t>
      </w:r>
      <w:r w:rsidR="00BA59FB">
        <w:t>: Y</w:t>
      </w:r>
      <w:r>
        <w:t>es</w:t>
      </w:r>
      <w:r w:rsidR="00BA59FB">
        <w:t>,</w:t>
      </w:r>
      <w:r>
        <w:t xml:space="preserve"> we </w:t>
      </w:r>
      <w:r w:rsidR="00080F68">
        <w:t xml:space="preserve">expect </w:t>
      </w:r>
      <w:r>
        <w:t xml:space="preserve">to get prototypes from </w:t>
      </w:r>
      <w:proofErr w:type="spellStart"/>
      <w:r>
        <w:t>O</w:t>
      </w:r>
      <w:r w:rsidR="00BA59FB">
        <w:t>pen</w:t>
      </w:r>
      <w:r>
        <w:t>A</w:t>
      </w:r>
      <w:r w:rsidR="00BA59FB">
        <w:t>IRE</w:t>
      </w:r>
      <w:proofErr w:type="spellEnd"/>
      <w:r w:rsidR="00BA59FB">
        <w:t xml:space="preserve"> </w:t>
      </w:r>
      <w:r w:rsidR="00080F68">
        <w:t xml:space="preserve">of the EGI extensions </w:t>
      </w:r>
      <w:r w:rsidR="00BA59FB">
        <w:t>for the</w:t>
      </w:r>
      <w:r>
        <w:t xml:space="preserve"> </w:t>
      </w:r>
      <w:r w:rsidR="00080F68">
        <w:t xml:space="preserve">EGI </w:t>
      </w:r>
      <w:r>
        <w:t>C</w:t>
      </w:r>
      <w:r w:rsidR="00BA59FB">
        <w:t>ommunity Forum</w:t>
      </w:r>
      <w:r w:rsidR="00080F68">
        <w:t xml:space="preserve"> in April 2013</w:t>
      </w:r>
      <w:r w:rsidR="00BA59FB">
        <w:t>. So we can</w:t>
      </w:r>
      <w:r>
        <w:t xml:space="preserve"> to start with discussions about changing word</w:t>
      </w:r>
      <w:r w:rsidR="00BA59FB">
        <w:t>s</w:t>
      </w:r>
      <w:r>
        <w:t xml:space="preserve"> of text before tech</w:t>
      </w:r>
      <w:r w:rsidR="00BA59FB">
        <w:t xml:space="preserve">nical implementation of </w:t>
      </w:r>
      <w:proofErr w:type="spellStart"/>
      <w:r w:rsidR="00BA59FB">
        <w:t>OpenAIRE</w:t>
      </w:r>
      <w:proofErr w:type="spellEnd"/>
      <w:r w:rsidR="00BA59FB">
        <w:t>.</w:t>
      </w:r>
      <w:r w:rsidR="00463C99">
        <w:t xml:space="preserve"> </w:t>
      </w:r>
      <w:r>
        <w:t>VO managers should be more proactive in collecting this information</w:t>
      </w:r>
      <w:r w:rsidR="00463C99">
        <w:t>.</w:t>
      </w:r>
      <w:r>
        <w:t xml:space="preserve"> </w:t>
      </w:r>
      <w:r w:rsidR="00463C99">
        <w:t>End user</w:t>
      </w:r>
      <w:r w:rsidR="000C0ADF">
        <w:t xml:space="preserve"> </w:t>
      </w:r>
      <w:r w:rsidR="00463C99">
        <w:t>is the one who needs</w:t>
      </w:r>
      <w:r w:rsidR="000C0ADF">
        <w:t xml:space="preserve"> to put </w:t>
      </w:r>
      <w:r w:rsidR="00463C99">
        <w:t xml:space="preserve">it </w:t>
      </w:r>
      <w:r w:rsidR="000C0ADF">
        <w:t xml:space="preserve">but VO manager need to ensure that users read and understand </w:t>
      </w:r>
      <w:r w:rsidR="00463C99">
        <w:t xml:space="preserve">the </w:t>
      </w:r>
      <w:r w:rsidR="000C0ADF">
        <w:t>AUP</w:t>
      </w:r>
      <w:r w:rsidR="00463C99">
        <w:t>.</w:t>
      </w:r>
      <w:r w:rsidR="000C0ADF">
        <w:t xml:space="preserve"> Ultimately it is not VO </w:t>
      </w:r>
      <w:r w:rsidR="006E6A1E">
        <w:t>manager responsibility</w:t>
      </w:r>
      <w:r w:rsidR="00463C99">
        <w:t xml:space="preserve"> </w:t>
      </w:r>
      <w:r w:rsidR="006E6A1E">
        <w:t>to submit</w:t>
      </w:r>
      <w:r w:rsidR="00463C99">
        <w:t xml:space="preserve"> papers, it is </w:t>
      </w:r>
      <w:r w:rsidR="00080F68">
        <w:t xml:space="preserve">the </w:t>
      </w:r>
      <w:r w:rsidR="00463C99">
        <w:t>user</w:t>
      </w:r>
      <w:r w:rsidR="006E6A1E">
        <w:t xml:space="preserve"> </w:t>
      </w:r>
      <w:r w:rsidR="00080F68">
        <w:t>responsibility</w:t>
      </w:r>
      <w:r w:rsidR="00463C99">
        <w:t>.</w:t>
      </w:r>
      <w:r w:rsidR="000C0ADF">
        <w:t xml:space="preserve">  </w:t>
      </w:r>
    </w:p>
    <w:p w14:paraId="6398F9F7" w14:textId="4B8F6DB7" w:rsidR="00861480" w:rsidRDefault="000C0ADF" w:rsidP="00E56A36">
      <w:pPr>
        <w:spacing w:after="0" w:line="240" w:lineRule="auto"/>
      </w:pPr>
      <w:r>
        <w:t>DK</w:t>
      </w:r>
      <w:r w:rsidR="00F8247B">
        <w:t>: We need</w:t>
      </w:r>
      <w:r>
        <w:t xml:space="preserve"> multiple </w:t>
      </w:r>
      <w:r w:rsidR="0054588E">
        <w:t>approaches</w:t>
      </w:r>
      <w:r w:rsidR="00F8247B">
        <w:t>.</w:t>
      </w:r>
      <w:r>
        <w:t xml:space="preserve"> I suppose it needs to be </w:t>
      </w:r>
      <w:r w:rsidR="00861480">
        <w:t xml:space="preserve">if </w:t>
      </w:r>
      <w:r>
        <w:t xml:space="preserve">we are </w:t>
      </w:r>
      <w:r w:rsidR="00F8247B">
        <w:t>hitting</w:t>
      </w:r>
      <w:r>
        <w:t xml:space="preserve"> users all over the world</w:t>
      </w:r>
      <w:r w:rsidR="00EF062E">
        <w:t xml:space="preserve"> e.g. Venezuela</w:t>
      </w:r>
      <w:r w:rsidR="00861480">
        <w:t>.</w:t>
      </w:r>
    </w:p>
    <w:p w14:paraId="5DD25180" w14:textId="56A201DB" w:rsidR="000C0ADF" w:rsidRDefault="0054588E" w:rsidP="00E56A36">
      <w:pPr>
        <w:spacing w:after="0" w:line="240" w:lineRule="auto"/>
      </w:pPr>
      <w:r>
        <w:t>SN: I</w:t>
      </w:r>
      <w:r w:rsidR="00861480">
        <w:t>f they are clicking on VOMS</w:t>
      </w:r>
      <w:r w:rsidR="000C0ADF">
        <w:t xml:space="preserve"> server</w:t>
      </w:r>
      <w:r w:rsidR="00861480">
        <w:t xml:space="preserve">s </w:t>
      </w:r>
      <w:r w:rsidR="00080F68">
        <w:t xml:space="preserve">based in or </w:t>
      </w:r>
      <w:r w:rsidR="00861480">
        <w:t>around</w:t>
      </w:r>
      <w:r w:rsidR="000C0ADF">
        <w:t xml:space="preserve"> Europe I don’t care whether they are in </w:t>
      </w:r>
      <w:r w:rsidR="00861480">
        <w:t>Venezuela, w</w:t>
      </w:r>
      <w:r w:rsidR="000C0ADF">
        <w:t xml:space="preserve">e need to know and our funder needs to know our international cooperation </w:t>
      </w:r>
      <w:r w:rsidR="00BD0E68">
        <w:t>activities</w:t>
      </w:r>
      <w:r w:rsidR="00861480">
        <w:t>.</w:t>
      </w:r>
      <w:r w:rsidR="000C0ADF">
        <w:t xml:space="preserve"> </w:t>
      </w:r>
    </w:p>
    <w:p w14:paraId="4DFCCC0F" w14:textId="726E1F6C" w:rsidR="00861480" w:rsidRDefault="0007034F" w:rsidP="00E56A36">
      <w:pPr>
        <w:spacing w:after="0" w:line="240" w:lineRule="auto"/>
      </w:pPr>
      <w:r>
        <w:t>SA</w:t>
      </w:r>
      <w:r w:rsidR="00861480">
        <w:t>:</w:t>
      </w:r>
      <w:r>
        <w:t xml:space="preserve"> Main issue </w:t>
      </w:r>
      <w:r w:rsidR="00861480">
        <w:t>is to l</w:t>
      </w:r>
      <w:r>
        <w:t xml:space="preserve">ink publications to </w:t>
      </w:r>
      <w:r w:rsidR="00DC23B4">
        <w:t>EGI, which</w:t>
      </w:r>
      <w:r>
        <w:t xml:space="preserve"> is the moment very weak</w:t>
      </w:r>
      <w:r w:rsidR="00861480">
        <w:t>.</w:t>
      </w:r>
    </w:p>
    <w:p w14:paraId="5A3165CD" w14:textId="77777777" w:rsidR="004B37C8" w:rsidRDefault="0007034F" w:rsidP="00E56A36">
      <w:pPr>
        <w:spacing w:after="0" w:line="240" w:lineRule="auto"/>
      </w:pPr>
      <w:r>
        <w:t>DK</w:t>
      </w:r>
      <w:r w:rsidR="00861480">
        <w:t xml:space="preserve">: I fully understand, </w:t>
      </w:r>
      <w:r>
        <w:t xml:space="preserve">just struggling how to best achieve it. </w:t>
      </w:r>
      <w:r w:rsidR="00861480">
        <w:t>Throughout</w:t>
      </w:r>
      <w:r w:rsidR="004B37C8">
        <w:t xml:space="preserve"> communication, </w:t>
      </w:r>
      <w:r>
        <w:t xml:space="preserve">not so much </w:t>
      </w:r>
      <w:r w:rsidR="004B37C8">
        <w:t>through</w:t>
      </w:r>
      <w:r>
        <w:t xml:space="preserve"> policy provision</w:t>
      </w:r>
      <w:r w:rsidR="004B37C8">
        <w:t>?</w:t>
      </w:r>
      <w:r>
        <w:t xml:space="preserve"> </w:t>
      </w:r>
    </w:p>
    <w:p w14:paraId="0ED18DDD" w14:textId="202E0733" w:rsidR="004B37C8" w:rsidRDefault="0007034F" w:rsidP="00E56A36">
      <w:pPr>
        <w:spacing w:after="0" w:line="240" w:lineRule="auto"/>
      </w:pPr>
      <w:r>
        <w:t>LC</w:t>
      </w:r>
      <w:r w:rsidR="004B37C8">
        <w:t>:</w:t>
      </w:r>
      <w:r>
        <w:t xml:space="preserve"> It has to be in </w:t>
      </w:r>
      <w:r w:rsidR="00080F68">
        <w:t xml:space="preserve">the </w:t>
      </w:r>
      <w:r>
        <w:t>policies</w:t>
      </w:r>
      <w:r w:rsidR="004B37C8">
        <w:t>.</w:t>
      </w:r>
      <w:r>
        <w:t xml:space="preserve">   </w:t>
      </w:r>
    </w:p>
    <w:p w14:paraId="6C018513" w14:textId="4409031C" w:rsidR="004B37C8" w:rsidRDefault="004B37C8" w:rsidP="00E56A36">
      <w:pPr>
        <w:spacing w:after="0" w:line="240" w:lineRule="auto"/>
      </w:pPr>
      <w:r>
        <w:t>SA:</w:t>
      </w:r>
      <w:r w:rsidR="0007034F">
        <w:t xml:space="preserve"> Sometimes </w:t>
      </w:r>
      <w:r w:rsidR="009A77BA">
        <w:t>users</w:t>
      </w:r>
      <w:r w:rsidR="0007034F">
        <w:t xml:space="preserve"> </w:t>
      </w:r>
      <w:r>
        <w:t>didn’t</w:t>
      </w:r>
      <w:r w:rsidR="0007034F">
        <w:t xml:space="preserve"> even know that </w:t>
      </w:r>
      <w:r w:rsidR="009A77BA">
        <w:t xml:space="preserve">they </w:t>
      </w:r>
      <w:r w:rsidR="0007034F">
        <w:t>are using</w:t>
      </w:r>
      <w:r>
        <w:t xml:space="preserve"> EGI. That’s the reason for </w:t>
      </w:r>
      <w:r w:rsidR="009A77BA">
        <w:t xml:space="preserve">VT report </w:t>
      </w:r>
      <w:r>
        <w:t xml:space="preserve">recommendation </w:t>
      </w:r>
      <w:r w:rsidR="0007034F">
        <w:t>6</w:t>
      </w:r>
      <w:r>
        <w:t xml:space="preserve"> </w:t>
      </w:r>
      <w:proofErr w:type="gramStart"/>
      <w:r>
        <w:t xml:space="preserve">- </w:t>
      </w:r>
      <w:r w:rsidR="0007034F">
        <w:t xml:space="preserve"> </w:t>
      </w:r>
      <w:r w:rsidRPr="004B37C8">
        <w:t>Expose</w:t>
      </w:r>
      <w:proofErr w:type="gramEnd"/>
      <w:r w:rsidRPr="004B37C8">
        <w:t xml:space="preserve"> EGI in user interfaces</w:t>
      </w:r>
      <w:r w:rsidR="007740A3">
        <w:t xml:space="preserve">. </w:t>
      </w:r>
      <w:proofErr w:type="gramStart"/>
      <w:r w:rsidR="007740A3">
        <w:t>Marketing</w:t>
      </w:r>
      <w:r w:rsidR="0007034F">
        <w:t xml:space="preserve"> </w:t>
      </w:r>
      <w:r>
        <w:t>campaign make users more aware.</w:t>
      </w:r>
      <w:proofErr w:type="gramEnd"/>
      <w:r w:rsidR="006A6C99">
        <w:t xml:space="preserve">  </w:t>
      </w:r>
    </w:p>
    <w:p w14:paraId="0619DB84" w14:textId="06E27F58" w:rsidR="004B37C8" w:rsidRDefault="006A6C99" w:rsidP="00E56A36">
      <w:pPr>
        <w:spacing w:after="0" w:line="240" w:lineRule="auto"/>
      </w:pPr>
      <w:r>
        <w:t>DK</w:t>
      </w:r>
      <w:r w:rsidR="004B37C8">
        <w:t>: C</w:t>
      </w:r>
      <w:r>
        <w:t>oncrete example</w:t>
      </w:r>
      <w:r w:rsidR="004B37C8">
        <w:t xml:space="preserve"> - w</w:t>
      </w:r>
      <w:r>
        <w:t xml:space="preserve">e put EGI in </w:t>
      </w:r>
      <w:r w:rsidR="00784422">
        <w:t xml:space="preserve">the </w:t>
      </w:r>
      <w:r>
        <w:t>AUP to acknowledge EGI and then I want to apply</w:t>
      </w:r>
      <w:r w:rsidR="004B37C8">
        <w:t xml:space="preserve"> </w:t>
      </w:r>
      <w:r>
        <w:t xml:space="preserve">this </w:t>
      </w:r>
      <w:r w:rsidR="004B37C8">
        <w:t xml:space="preserve">to </w:t>
      </w:r>
      <w:r>
        <w:t>WCLG and I need to go through</w:t>
      </w:r>
      <w:r w:rsidR="00221338">
        <w:t xml:space="preserve"> WLSG</w:t>
      </w:r>
      <w:r w:rsidR="004B37C8">
        <w:t xml:space="preserve"> M</w:t>
      </w:r>
      <w:r>
        <w:t>anagement Board</w:t>
      </w:r>
      <w:r w:rsidR="004B37C8">
        <w:t>. T</w:t>
      </w:r>
      <w:r>
        <w:t xml:space="preserve">hey </w:t>
      </w:r>
      <w:r w:rsidR="004B37C8">
        <w:t>will also say the same thing and ask for acknowledgment.</w:t>
      </w:r>
      <w:r>
        <w:t xml:space="preserve"> </w:t>
      </w:r>
    </w:p>
    <w:p w14:paraId="1F466E46" w14:textId="44C75D65" w:rsidR="0007034F" w:rsidRDefault="006A6C99" w:rsidP="00E56A36">
      <w:pPr>
        <w:spacing w:after="0" w:line="240" w:lineRule="auto"/>
      </w:pPr>
      <w:r>
        <w:t>LC</w:t>
      </w:r>
      <w:r w:rsidR="004B37C8">
        <w:t>:</w:t>
      </w:r>
      <w:r>
        <w:t xml:space="preserve"> We could have g</w:t>
      </w:r>
      <w:r w:rsidR="007740A3">
        <w:t>eneral description of grid infrastructures</w:t>
      </w:r>
      <w:r>
        <w:t xml:space="preserve"> </w:t>
      </w:r>
      <w:r w:rsidR="007740A3">
        <w:t>W</w:t>
      </w:r>
      <w:r>
        <w:t>LSG</w:t>
      </w:r>
      <w:r w:rsidR="007740A3">
        <w:t>,</w:t>
      </w:r>
      <w:r>
        <w:t xml:space="preserve"> EGI </w:t>
      </w:r>
      <w:r w:rsidR="007740A3">
        <w:t>etc. T</w:t>
      </w:r>
      <w:r w:rsidR="00221338">
        <w:t xml:space="preserve">hen </w:t>
      </w:r>
      <w:r w:rsidR="007740A3">
        <w:t>users</w:t>
      </w:r>
      <w:r w:rsidR="00221338">
        <w:t xml:space="preserve"> </w:t>
      </w:r>
      <w:r w:rsidR="007740A3">
        <w:t>don’t have to say what specific infrastructure they</w:t>
      </w:r>
      <w:r w:rsidR="00221338">
        <w:t xml:space="preserve"> used but</w:t>
      </w:r>
      <w:r w:rsidR="007740A3">
        <w:t xml:space="preserve"> than to make it</w:t>
      </w:r>
      <w:r w:rsidR="00221338">
        <w:t xml:space="preserve"> clear that probably EGI is the lar</w:t>
      </w:r>
      <w:r w:rsidR="007740A3">
        <w:t xml:space="preserve">gest part of the infrastructure. </w:t>
      </w:r>
    </w:p>
    <w:p w14:paraId="40FCF095" w14:textId="16B6BE18" w:rsidR="006D120E" w:rsidRDefault="007740A3" w:rsidP="00E56A36">
      <w:pPr>
        <w:spacing w:after="0" w:line="240" w:lineRule="auto"/>
      </w:pPr>
      <w:r>
        <w:t>SN: A</w:t>
      </w:r>
      <w:r w:rsidR="006D120E">
        <w:t>nother alternative is acknowledgment to VO</w:t>
      </w:r>
      <w:r w:rsidR="003B2E08">
        <w:t>;</w:t>
      </w:r>
      <w:r>
        <w:t xml:space="preserve"> it</w:t>
      </w:r>
      <w:r w:rsidR="006D120E">
        <w:t xml:space="preserve"> is much </w:t>
      </w:r>
      <w:r>
        <w:t>easier</w:t>
      </w:r>
      <w:r w:rsidR="006D120E">
        <w:t xml:space="preserve"> from us to derive from</w:t>
      </w:r>
      <w:r>
        <w:t xml:space="preserve"> </w:t>
      </w:r>
      <w:r w:rsidR="006D120E">
        <w:t>that tha</w:t>
      </w:r>
      <w:r w:rsidR="003B2E08">
        <w:t>n whether</w:t>
      </w:r>
      <w:r w:rsidR="006D120E">
        <w:t xml:space="preserve"> EGI</w:t>
      </w:r>
      <w:r w:rsidR="003B2E08">
        <w:t>,</w:t>
      </w:r>
      <w:r w:rsidR="006D120E">
        <w:t xml:space="preserve"> OSG and whoever was resource contributor </w:t>
      </w:r>
      <w:r>
        <w:t>behind</w:t>
      </w:r>
      <w:r w:rsidR="006D120E">
        <w:t xml:space="preserve"> this organization</w:t>
      </w:r>
      <w:r>
        <w:t>.</w:t>
      </w:r>
      <w:r w:rsidR="006D120E">
        <w:t xml:space="preserve"> It is not </w:t>
      </w:r>
      <w:r w:rsidR="003B2E08">
        <w:t>necessary to have EGI mentioned</w:t>
      </w:r>
      <w:r>
        <w:t>.</w:t>
      </w:r>
      <w:r w:rsidR="006D120E">
        <w:t xml:space="preserve"> If we have VO we still can have metrics about </w:t>
      </w:r>
      <w:r>
        <w:t>productivity</w:t>
      </w:r>
      <w:r w:rsidR="006D120E">
        <w:t xml:space="preserve"> of VO</w:t>
      </w:r>
      <w:r w:rsidR="00256053">
        <w:t xml:space="preserve"> f</w:t>
      </w:r>
      <w:r>
        <w:t>rom resources we</w:t>
      </w:r>
      <w:r w:rsidR="00256053">
        <w:t xml:space="preserve"> provided</w:t>
      </w:r>
      <w:r>
        <w:t>.</w:t>
      </w:r>
      <w:r w:rsidR="00256053">
        <w:t xml:space="preserve"> </w:t>
      </w:r>
      <w:r>
        <w:t>Acknowledgment</w:t>
      </w:r>
      <w:r w:rsidR="00677E5D">
        <w:t xml:space="preserve"> in AUP can change purely by inserting VO name in it</w:t>
      </w:r>
      <w:r w:rsidR="00256053">
        <w:t xml:space="preserve">. </w:t>
      </w:r>
      <w:r w:rsidR="00E85835">
        <w:t>If we have</w:t>
      </w:r>
      <w:r w:rsidR="00677E5D">
        <w:t xml:space="preserve"> unique name from VO from that</w:t>
      </w:r>
      <w:r w:rsidR="00E85835">
        <w:t xml:space="preserve"> </w:t>
      </w:r>
      <w:r w:rsidR="00677E5D">
        <w:t>unique</w:t>
      </w:r>
      <w:r w:rsidR="00E85835">
        <w:t xml:space="preserve"> name we can derive resources, </w:t>
      </w:r>
      <w:r w:rsidR="00677E5D">
        <w:t>infrastructure that contributed these</w:t>
      </w:r>
      <w:r w:rsidR="00E85835">
        <w:t xml:space="preserve"> resources. </w:t>
      </w:r>
    </w:p>
    <w:p w14:paraId="19451557" w14:textId="4B1397EC" w:rsidR="00EF6955" w:rsidRDefault="00E85835" w:rsidP="00E56A36">
      <w:pPr>
        <w:spacing w:after="0"/>
        <w:rPr>
          <w:rFonts w:ascii="Times" w:eastAsia="Times New Roman" w:hAnsi="Times" w:cs="Times New Roman"/>
          <w:sz w:val="20"/>
          <w:szCs w:val="20"/>
        </w:rPr>
      </w:pPr>
      <w:r>
        <w:t>SA</w:t>
      </w:r>
      <w:r w:rsidR="00DC4406">
        <w:t>:</w:t>
      </w:r>
      <w:r>
        <w:t xml:space="preserve"> </w:t>
      </w:r>
      <w:r w:rsidRPr="00EF6955">
        <w:t xml:space="preserve">Statement </w:t>
      </w:r>
      <w:r w:rsidR="00EF6955">
        <w:t>like</w:t>
      </w:r>
      <w:r w:rsidR="004B1002">
        <w:t xml:space="preserve"> -</w:t>
      </w:r>
      <w:r w:rsidR="00EF6955">
        <w:t xml:space="preserve"> </w:t>
      </w:r>
      <w:r w:rsidR="00EF6955" w:rsidRPr="00EF6955">
        <w:t xml:space="preserve">This work used Grid services as part of the VONAME Virtual </w:t>
      </w:r>
      <w:proofErr w:type="spellStart"/>
      <w:r w:rsidR="00EF6955" w:rsidRPr="00EF6955">
        <w:t>Organisation</w:t>
      </w:r>
      <w:proofErr w:type="spellEnd"/>
      <w:r w:rsidR="00EF6955" w:rsidRPr="00EF6955">
        <w:t xml:space="preserve"> [and is supported by the EC-funded project PRJ_NAME Grant number XXXXX].</w:t>
      </w:r>
    </w:p>
    <w:p w14:paraId="6ED21AA2" w14:textId="493BAEB5" w:rsidR="00E85835" w:rsidRPr="00EF6955" w:rsidRDefault="00EF6955" w:rsidP="00E56A36">
      <w:pPr>
        <w:spacing w:after="0"/>
        <w:rPr>
          <w:rFonts w:ascii="Times" w:eastAsia="Times New Roman" w:hAnsi="Times" w:cs="Times New Roman"/>
          <w:sz w:val="20"/>
          <w:szCs w:val="20"/>
        </w:rPr>
      </w:pPr>
      <w:r>
        <w:t xml:space="preserve">SN: </w:t>
      </w:r>
      <w:r w:rsidR="00E85835">
        <w:t>Right</w:t>
      </w:r>
      <w:r w:rsidR="004B1002">
        <w:t>,</w:t>
      </w:r>
      <w:r w:rsidR="00E85835">
        <w:t xml:space="preserve"> if we know how ma</w:t>
      </w:r>
      <w:r>
        <w:t>n</w:t>
      </w:r>
      <w:r w:rsidR="00E85835">
        <w:t xml:space="preserve">y papers are </w:t>
      </w:r>
      <w:r>
        <w:t>produced</w:t>
      </w:r>
      <w:r w:rsidR="00E85835">
        <w:t xml:space="preserve"> by VO we can allocate this across RCs and </w:t>
      </w:r>
      <w:r w:rsidR="004B1002">
        <w:t>infrastructures.</w:t>
      </w:r>
      <w:r w:rsidR="00E85835">
        <w:t xml:space="preserve"> </w:t>
      </w:r>
    </w:p>
    <w:p w14:paraId="7486F834" w14:textId="300DC148" w:rsidR="004B1002" w:rsidRDefault="00E85835" w:rsidP="00E56A36">
      <w:pPr>
        <w:spacing w:after="0" w:line="240" w:lineRule="auto"/>
      </w:pPr>
      <w:r>
        <w:t>DK</w:t>
      </w:r>
      <w:r w:rsidR="004B1002">
        <w:t>:</w:t>
      </w:r>
      <w:r>
        <w:t xml:space="preserve"> What is the time scale</w:t>
      </w:r>
      <w:r w:rsidR="004B1002">
        <w:t xml:space="preserve"> for this?</w:t>
      </w:r>
      <w:r>
        <w:t xml:space="preserve"> </w:t>
      </w:r>
    </w:p>
    <w:p w14:paraId="3BF3D106" w14:textId="59A2409C" w:rsidR="003D03E3" w:rsidRDefault="004B1002" w:rsidP="00E56A36">
      <w:pPr>
        <w:spacing w:after="0" w:line="240" w:lineRule="auto"/>
      </w:pPr>
      <w:r>
        <w:lastRenderedPageBreak/>
        <w:t>SN:</w:t>
      </w:r>
      <w:r w:rsidR="00C64188">
        <w:t xml:space="preserve"> </w:t>
      </w:r>
      <w:r w:rsidR="00E85835">
        <w:t xml:space="preserve">This needs a </w:t>
      </w:r>
      <w:r w:rsidR="00080F68">
        <w:t>lot</w:t>
      </w:r>
      <w:r w:rsidR="00E85835">
        <w:t xml:space="preserve"> of publicity</w:t>
      </w:r>
      <w:r>
        <w:t>. The</w:t>
      </w:r>
      <w:r w:rsidR="00E85835">
        <w:t xml:space="preserve"> </w:t>
      </w:r>
      <w:r w:rsidR="00080F68">
        <w:t xml:space="preserve">EGI </w:t>
      </w:r>
      <w:r w:rsidR="00E85835">
        <w:t xml:space="preserve">CF would be very good time to start and it would fit in time with </w:t>
      </w:r>
      <w:r>
        <w:t xml:space="preserve">the development work from </w:t>
      </w:r>
      <w:proofErr w:type="spellStart"/>
      <w:r>
        <w:t>OpenAIRE</w:t>
      </w:r>
      <w:proofErr w:type="spellEnd"/>
      <w:r>
        <w:t>.</w:t>
      </w:r>
      <w:r w:rsidR="00C64188">
        <w:t xml:space="preserve"> T</w:t>
      </w:r>
      <w:r w:rsidR="00DF4939">
        <w:t xml:space="preserve">here is very good </w:t>
      </w:r>
      <w:r w:rsidR="00C64188">
        <w:t>discipline</w:t>
      </w:r>
      <w:r w:rsidR="00DF4939">
        <w:t xml:space="preserve"> </w:t>
      </w:r>
      <w:r w:rsidR="00C64188">
        <w:t>from</w:t>
      </w:r>
      <w:r w:rsidR="00DF4939">
        <w:t xml:space="preserve"> HEP </w:t>
      </w:r>
      <w:r w:rsidR="00C64188">
        <w:t>community</w:t>
      </w:r>
      <w:r w:rsidR="00DF4939">
        <w:t xml:space="preserve"> to deposit the papers in</w:t>
      </w:r>
      <w:r w:rsidR="00C64188">
        <w:rPr>
          <w:highlight w:val="yellow"/>
        </w:rPr>
        <w:t xml:space="preserve">??? </w:t>
      </w:r>
      <w:r w:rsidR="00DF4939">
        <w:t xml:space="preserve"> </w:t>
      </w:r>
      <w:proofErr w:type="gramStart"/>
      <w:r w:rsidR="00C64188">
        <w:t>at</w:t>
      </w:r>
      <w:proofErr w:type="gramEnd"/>
      <w:r w:rsidR="00DF4939">
        <w:t xml:space="preserve"> CERN</w:t>
      </w:r>
      <w:r w:rsidR="00C64188">
        <w:t>.</w:t>
      </w:r>
      <w:r w:rsidR="00DF4939">
        <w:t xml:space="preserve"> </w:t>
      </w:r>
    </w:p>
    <w:p w14:paraId="6ED06FEF" w14:textId="7009C2A2" w:rsidR="00DF4939" w:rsidRDefault="00DF4939" w:rsidP="00E56A36">
      <w:pPr>
        <w:spacing w:after="0" w:line="240" w:lineRule="auto"/>
      </w:pPr>
      <w:r>
        <w:t>SN</w:t>
      </w:r>
      <w:r w:rsidR="00C64188">
        <w:t>:</w:t>
      </w:r>
      <w:r>
        <w:t xml:space="preserve"> How to mine this information</w:t>
      </w:r>
      <w:r w:rsidR="00C64188">
        <w:t>? The m</w:t>
      </w:r>
      <w:r>
        <w:t xml:space="preserve">ore </w:t>
      </w:r>
      <w:r w:rsidR="00C64188">
        <w:t>recognizable</w:t>
      </w:r>
      <w:r>
        <w:t xml:space="preserve"> the phrase </w:t>
      </w:r>
      <w:r w:rsidR="001F0058">
        <w:t>the</w:t>
      </w:r>
      <w:r>
        <w:t xml:space="preserve"> easier</w:t>
      </w:r>
      <w:r w:rsidR="001F0058">
        <w:t xml:space="preserve"> and</w:t>
      </w:r>
      <w:r>
        <w:t xml:space="preserve"> better. </w:t>
      </w:r>
    </w:p>
    <w:p w14:paraId="5EF619C4" w14:textId="69D7C022" w:rsidR="006813ED" w:rsidRDefault="00DF4939" w:rsidP="00E56A36">
      <w:pPr>
        <w:spacing w:after="0" w:line="240" w:lineRule="auto"/>
      </w:pPr>
      <w:r>
        <w:t>MD</w:t>
      </w:r>
      <w:r w:rsidR="006813ED">
        <w:t>: F</w:t>
      </w:r>
      <w:r>
        <w:t xml:space="preserve">rom technical point of view, what needs to change in </w:t>
      </w:r>
      <w:r w:rsidR="006813ED">
        <w:t>existing infrastructure?</w:t>
      </w:r>
      <w:r>
        <w:t xml:space="preserve"> There is one unique VO fo</w:t>
      </w:r>
      <w:r w:rsidR="006813ED">
        <w:t xml:space="preserve">r centrally allocated resource and VO will be </w:t>
      </w:r>
      <w:r w:rsidR="00BD3022">
        <w:t>dismantled when</w:t>
      </w:r>
      <w:r>
        <w:t xml:space="preserve"> it is over?</w:t>
      </w:r>
      <w:r w:rsidR="006813ED">
        <w:t xml:space="preserve"> </w:t>
      </w:r>
    </w:p>
    <w:p w14:paraId="163FCB37" w14:textId="77777777" w:rsidR="00044BBD" w:rsidRDefault="00DF4939" w:rsidP="00E56A36">
      <w:pPr>
        <w:spacing w:after="0" w:line="240" w:lineRule="auto"/>
      </w:pPr>
      <w:r>
        <w:t>SN</w:t>
      </w:r>
      <w:r w:rsidR="006813ED">
        <w:t>:</w:t>
      </w:r>
      <w:r>
        <w:t xml:space="preserve"> </w:t>
      </w:r>
      <w:r w:rsidR="006813ED">
        <w:t xml:space="preserve">This will be a topic of the </w:t>
      </w:r>
      <w:r>
        <w:t xml:space="preserve">workshop </w:t>
      </w:r>
      <w:r w:rsidR="006813ED">
        <w:t>in January.</w:t>
      </w:r>
      <w:r w:rsidR="00951B19">
        <w:t xml:space="preserve"> </w:t>
      </w:r>
      <w:r w:rsidR="006813ED">
        <w:t>Current</w:t>
      </w:r>
      <w:r w:rsidR="00951B19">
        <w:t xml:space="preserve"> model around VOs setup</w:t>
      </w:r>
      <w:r w:rsidR="00044BBD">
        <w:t xml:space="preserve"> gives VO</w:t>
      </w:r>
      <w:r w:rsidR="00951B19">
        <w:t xml:space="preserve"> very </w:t>
      </w:r>
      <w:r w:rsidR="006813ED">
        <w:t>autonomous</w:t>
      </w:r>
      <w:r w:rsidR="00044BBD">
        <w:t xml:space="preserve"> status.</w:t>
      </w:r>
    </w:p>
    <w:p w14:paraId="6F565516" w14:textId="12E87084" w:rsidR="006813ED" w:rsidRDefault="00951B19" w:rsidP="00E56A36">
      <w:pPr>
        <w:spacing w:after="0" w:line="240" w:lineRule="auto"/>
      </w:pPr>
      <w:r>
        <w:t>MD</w:t>
      </w:r>
      <w:r w:rsidR="006813ED">
        <w:t>:</w:t>
      </w:r>
      <w:r>
        <w:t xml:space="preserve"> </w:t>
      </w:r>
      <w:r w:rsidR="006813ED">
        <w:t>Do</w:t>
      </w:r>
      <w:r>
        <w:t xml:space="preserve"> we need to change something </w:t>
      </w:r>
      <w:r w:rsidR="006813ED">
        <w:t xml:space="preserve">accounting portal? </w:t>
      </w:r>
    </w:p>
    <w:p w14:paraId="35905E3A" w14:textId="77777777" w:rsidR="006813ED" w:rsidRDefault="00951B19" w:rsidP="00E56A36">
      <w:pPr>
        <w:spacing w:after="0" w:line="240" w:lineRule="auto"/>
      </w:pPr>
      <w:r>
        <w:t>SN</w:t>
      </w:r>
      <w:r w:rsidR="006813ED">
        <w:t>:</w:t>
      </w:r>
      <w:r>
        <w:t xml:space="preserve"> I </w:t>
      </w:r>
      <w:r w:rsidR="006813ED">
        <w:t>don’t</w:t>
      </w:r>
      <w:r>
        <w:t xml:space="preserve"> think so</w:t>
      </w:r>
      <w:r w:rsidR="006813ED">
        <w:t>.</w:t>
      </w:r>
    </w:p>
    <w:p w14:paraId="78FCA19A" w14:textId="0C806522" w:rsidR="00DF4939" w:rsidRDefault="00951B19" w:rsidP="00E56A36">
      <w:pPr>
        <w:spacing w:after="0" w:line="240" w:lineRule="auto"/>
      </w:pPr>
      <w:r>
        <w:t>MD</w:t>
      </w:r>
      <w:r w:rsidR="006813ED">
        <w:t>:</w:t>
      </w:r>
      <w:r>
        <w:t xml:space="preserve"> It </w:t>
      </w:r>
      <w:r w:rsidR="006813ED">
        <w:t>looks</w:t>
      </w:r>
      <w:r>
        <w:t xml:space="preserve"> </w:t>
      </w:r>
      <w:r w:rsidR="006813ED">
        <w:t>there is nothing to be changed.</w:t>
      </w:r>
      <w:r w:rsidR="00885E76">
        <w:t xml:space="preserve"> </w:t>
      </w:r>
    </w:p>
    <w:p w14:paraId="43987F0D" w14:textId="77777777" w:rsidR="006813ED" w:rsidRDefault="00885E76" w:rsidP="00E56A36">
      <w:pPr>
        <w:spacing w:after="0" w:line="240" w:lineRule="auto"/>
      </w:pPr>
      <w:r>
        <w:t>SN</w:t>
      </w:r>
      <w:r w:rsidR="006813ED">
        <w:t>: M</w:t>
      </w:r>
      <w:r>
        <w:t>ain point of call is to make sure use case is clear in your mind</w:t>
      </w:r>
      <w:r w:rsidR="006813ED">
        <w:t>.</w:t>
      </w:r>
      <w:r>
        <w:t xml:space="preserve"> </w:t>
      </w:r>
    </w:p>
    <w:p w14:paraId="5E432FC1" w14:textId="42217E21" w:rsidR="00AE1AAF" w:rsidRDefault="00AE1AAF" w:rsidP="00E56A36">
      <w:pPr>
        <w:spacing w:after="0" w:line="240" w:lineRule="auto"/>
      </w:pPr>
      <w:r>
        <w:t xml:space="preserve">DK I </w:t>
      </w:r>
      <w:r w:rsidR="00885E76">
        <w:t xml:space="preserve">understand </w:t>
      </w:r>
      <w:r>
        <w:t>this,</w:t>
      </w:r>
      <w:r w:rsidR="00885E76">
        <w:t xml:space="preserve"> not sure</w:t>
      </w:r>
      <w:r>
        <w:t xml:space="preserve"> of the best way to do it. D</w:t>
      </w:r>
      <w:r w:rsidR="007B6B53">
        <w:t>iscuss this with</w:t>
      </w:r>
      <w:r>
        <w:t>in</w:t>
      </w:r>
      <w:r w:rsidR="007B6B53">
        <w:t xml:space="preserve"> SPG? </w:t>
      </w:r>
      <w:r w:rsidR="00D75DAC" w:rsidRPr="00E96C54">
        <w:rPr>
          <w:b/>
        </w:rPr>
        <w:t>(</w:t>
      </w:r>
      <w:proofErr w:type="gramStart"/>
      <w:r w:rsidR="00D75DAC" w:rsidRPr="00E96C54">
        <w:rPr>
          <w:b/>
        </w:rPr>
        <w:t>action</w:t>
      </w:r>
      <w:proofErr w:type="gramEnd"/>
      <w:r w:rsidR="00D75DAC" w:rsidRPr="00E96C54">
        <w:rPr>
          <w:b/>
        </w:rPr>
        <w:t xml:space="preserve"> 07/01)</w:t>
      </w:r>
    </w:p>
    <w:p w14:paraId="7A58AA1A" w14:textId="77777777" w:rsidR="00AE1AAF" w:rsidRDefault="007B6B53" w:rsidP="00E56A36">
      <w:pPr>
        <w:spacing w:after="0" w:line="240" w:lineRule="auto"/>
      </w:pPr>
      <w:r>
        <w:t>SN</w:t>
      </w:r>
      <w:r w:rsidR="00AE1AAF">
        <w:t>:</w:t>
      </w:r>
      <w:r>
        <w:t xml:space="preserve"> Yes</w:t>
      </w:r>
      <w:r w:rsidR="00AE1AAF">
        <w:t>.</w:t>
      </w:r>
    </w:p>
    <w:p w14:paraId="285B03B8" w14:textId="77777777" w:rsidR="00E96C54" w:rsidRDefault="007B6B53" w:rsidP="00E56A36">
      <w:pPr>
        <w:spacing w:after="0" w:line="240" w:lineRule="auto"/>
      </w:pPr>
      <w:r>
        <w:t>DK</w:t>
      </w:r>
      <w:r w:rsidR="00AE1AAF">
        <w:t>:</w:t>
      </w:r>
      <w:r>
        <w:t xml:space="preserve"> More people </w:t>
      </w:r>
      <w:r w:rsidR="00AE1AAF">
        <w:t xml:space="preserve">discuss </w:t>
      </w:r>
      <w:r w:rsidR="00281C05">
        <w:t>it;</w:t>
      </w:r>
      <w:r w:rsidR="00AE1AAF">
        <w:t xml:space="preserve"> there will be</w:t>
      </w:r>
      <w:r>
        <w:t xml:space="preserve"> more bright ideas</w:t>
      </w:r>
      <w:r w:rsidR="00AE1AAF">
        <w:t>.</w:t>
      </w:r>
    </w:p>
    <w:p w14:paraId="70ACA7BD" w14:textId="40957BA3" w:rsidR="00AE1AAF" w:rsidRDefault="007B6B53" w:rsidP="00E56A36">
      <w:pPr>
        <w:spacing w:after="0" w:line="240" w:lineRule="auto"/>
      </w:pPr>
      <w:r>
        <w:t xml:space="preserve"> </w:t>
      </w:r>
    </w:p>
    <w:p w14:paraId="4E30524E" w14:textId="70BE70AD" w:rsidR="00AE1AAF" w:rsidRDefault="00AE1AAF" w:rsidP="00E56A36">
      <w:pPr>
        <w:spacing w:after="0" w:line="240" w:lineRule="auto"/>
      </w:pPr>
      <w:r>
        <w:t>SN: This is EGI Council Policy</w:t>
      </w:r>
      <w:r w:rsidR="007B6B53">
        <w:t>, no specific implementation date</w:t>
      </w:r>
      <w:r>
        <w:t>. It doesn’t</w:t>
      </w:r>
      <w:r w:rsidR="007B6B53">
        <w:t xml:space="preserve"> </w:t>
      </w:r>
      <w:r>
        <w:t>need to</w:t>
      </w:r>
      <w:r w:rsidR="007B6B53">
        <w:t xml:space="preserve"> happen before </w:t>
      </w:r>
      <w:r>
        <w:t>Christmas</w:t>
      </w:r>
      <w:r w:rsidR="007B6B53">
        <w:t xml:space="preserve"> but soon enough</w:t>
      </w:r>
      <w:r>
        <w:t>.</w:t>
      </w:r>
      <w:r w:rsidR="007B6B53">
        <w:t xml:space="preserve"> Ideally</w:t>
      </w:r>
      <w:r>
        <w:t>,</w:t>
      </w:r>
      <w:r w:rsidR="007B6B53">
        <w:t xml:space="preserve"> before time we start submitting </w:t>
      </w:r>
      <w:r w:rsidR="00247CAB">
        <w:t xml:space="preserve">project </w:t>
      </w:r>
      <w:r w:rsidR="007B6B53">
        <w:t>proposals for funding</w:t>
      </w:r>
      <w:r>
        <w:t>.</w:t>
      </w:r>
    </w:p>
    <w:p w14:paraId="1C71E16D" w14:textId="0BC914F5" w:rsidR="00BD3022" w:rsidRDefault="007B6B53" w:rsidP="00E56A36">
      <w:pPr>
        <w:spacing w:after="0" w:line="240" w:lineRule="auto"/>
      </w:pPr>
      <w:r>
        <w:t>DK</w:t>
      </w:r>
      <w:r w:rsidR="00BD3022">
        <w:t>: So we are</w:t>
      </w:r>
      <w:r>
        <w:t xml:space="preserve"> </w:t>
      </w:r>
      <w:r w:rsidR="00BD3022">
        <w:t>aiming</w:t>
      </w:r>
      <w:r>
        <w:t xml:space="preserve"> for public </w:t>
      </w:r>
      <w:r w:rsidR="00BD3022">
        <w:t>announcement</w:t>
      </w:r>
      <w:r>
        <w:t xml:space="preserve"> at </w:t>
      </w:r>
      <w:r w:rsidR="00BD3022">
        <w:t xml:space="preserve">the </w:t>
      </w:r>
      <w:r>
        <w:t>CF</w:t>
      </w:r>
      <w:r w:rsidR="00BD3022">
        <w:t>.</w:t>
      </w:r>
      <w:r>
        <w:t xml:space="preserve">  </w:t>
      </w:r>
    </w:p>
    <w:p w14:paraId="21727410" w14:textId="7C43CC1F" w:rsidR="00021723" w:rsidRDefault="00021723" w:rsidP="00E56A36">
      <w:pPr>
        <w:pStyle w:val="Heading1"/>
      </w:pPr>
      <w:bookmarkStart w:id="6" w:name="_Toc216544577"/>
      <w:r>
        <w:t>AOB</w:t>
      </w:r>
      <w:bookmarkEnd w:id="6"/>
    </w:p>
    <w:p w14:paraId="09008C94" w14:textId="77777777" w:rsidR="00BD3022" w:rsidRDefault="00BD3022" w:rsidP="00E56A36">
      <w:pPr>
        <w:spacing w:after="0" w:line="240" w:lineRule="auto"/>
      </w:pPr>
    </w:p>
    <w:p w14:paraId="05EDBA8D" w14:textId="57C5FD3C" w:rsidR="007B6B53" w:rsidRDefault="00B326BF" w:rsidP="00E56A36">
      <w:pPr>
        <w:spacing w:after="0" w:line="240" w:lineRule="auto"/>
      </w:pPr>
      <w:r>
        <w:t>SN: I</w:t>
      </w:r>
      <w:r w:rsidR="007B6B53">
        <w:t xml:space="preserve">s there is something </w:t>
      </w:r>
      <w:r w:rsidR="00F649E5">
        <w:t xml:space="preserve">pressing to discuss </w:t>
      </w:r>
      <w:r>
        <w:t>as a more general topic for SCG meeting?</w:t>
      </w:r>
    </w:p>
    <w:p w14:paraId="6ABE03FD" w14:textId="447D3D66" w:rsidR="00D11A75" w:rsidRDefault="00F649E5" w:rsidP="00E56A36">
      <w:pPr>
        <w:spacing w:after="0" w:line="240" w:lineRule="auto"/>
      </w:pPr>
      <w:r>
        <w:t>DK</w:t>
      </w:r>
      <w:r w:rsidR="00B326BF">
        <w:t>:</w:t>
      </w:r>
      <w:r w:rsidR="00156AA0">
        <w:t xml:space="preserve"> Security to collaborating Infrastructure</w:t>
      </w:r>
      <w:r w:rsidR="00471EDC">
        <w:t xml:space="preserve"> document</w:t>
      </w:r>
      <w:r w:rsidR="00156AA0">
        <w:t xml:space="preserve"> is</w:t>
      </w:r>
      <w:r>
        <w:t xml:space="preserve"> getting closer to </w:t>
      </w:r>
      <w:r w:rsidR="00471EDC">
        <w:t xml:space="preserve">the </w:t>
      </w:r>
      <w:r w:rsidR="00156AA0">
        <w:t>first version.</w:t>
      </w:r>
      <w:r>
        <w:t xml:space="preserve"> I will send it </w:t>
      </w:r>
      <w:r w:rsidR="00156AA0">
        <w:t xml:space="preserve">soon </w:t>
      </w:r>
      <w:r>
        <w:t xml:space="preserve">to </w:t>
      </w:r>
      <w:r w:rsidR="00156AA0">
        <w:t xml:space="preserve">the </w:t>
      </w:r>
      <w:r>
        <w:t>SCG mailing list for comments and discussions</w:t>
      </w:r>
      <w:r w:rsidR="00156AA0">
        <w:t>.</w:t>
      </w:r>
      <w:r w:rsidR="00D11A75">
        <w:br w:type="page"/>
      </w:r>
    </w:p>
    <w:p w14:paraId="13A95ABC" w14:textId="77777777" w:rsidR="00CF2288" w:rsidRDefault="00CF2288" w:rsidP="00E56A36">
      <w:pPr>
        <w:spacing w:after="0" w:line="240" w:lineRule="auto"/>
      </w:pPr>
    </w:p>
    <w:p w14:paraId="25B5EC2B" w14:textId="281D2E39" w:rsidR="00DF7CF3" w:rsidRDefault="00C10CAC" w:rsidP="00C10CAC">
      <w:pPr>
        <w:pStyle w:val="Heading1"/>
      </w:pPr>
      <w:bookmarkStart w:id="7" w:name="_Toc216544578"/>
      <w:r>
        <w:t>Actions</w:t>
      </w:r>
      <w:bookmarkEnd w:id="7"/>
    </w:p>
    <w:p w14:paraId="0BE3DB27" w14:textId="77777777" w:rsidR="00D11A75" w:rsidRPr="00993024" w:rsidRDefault="00D11A75" w:rsidP="00D11A75">
      <w:bookmarkStart w:id="8" w:name="_GoBack"/>
      <w:bookmarkEnd w:id="8"/>
      <w:r>
        <w:t xml:space="preserve">Inline </w:t>
      </w:r>
      <w:proofErr w:type="spellStart"/>
      <w:r>
        <w:t>emphasised</w:t>
      </w:r>
      <w:proofErr w:type="spellEnd"/>
      <w:r>
        <w:t xml:space="preserve"> in italics are the assessments of the tickets.</w:t>
      </w:r>
    </w:p>
    <w:tbl>
      <w:tblPr>
        <w:tblStyle w:val="LightShading"/>
        <w:tblW w:w="0" w:type="auto"/>
        <w:tblLook w:val="04A0" w:firstRow="1" w:lastRow="0" w:firstColumn="1" w:lastColumn="0" w:noHBand="0" w:noVBand="1"/>
      </w:tblPr>
      <w:tblGrid>
        <w:gridCol w:w="768"/>
        <w:gridCol w:w="1293"/>
        <w:gridCol w:w="6107"/>
        <w:gridCol w:w="1454"/>
      </w:tblGrid>
      <w:tr w:rsidR="00D11A75" w14:paraId="48F5CD95" w14:textId="77777777" w:rsidTr="00D11A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8" w:type="dxa"/>
          </w:tcPr>
          <w:p w14:paraId="0B21D4EC" w14:textId="77777777" w:rsidR="00D11A75" w:rsidRDefault="00D11A75" w:rsidP="00D11A75">
            <w:r>
              <w:t>ID</w:t>
            </w:r>
          </w:p>
        </w:tc>
        <w:tc>
          <w:tcPr>
            <w:tcW w:w="1293" w:type="dxa"/>
          </w:tcPr>
          <w:p w14:paraId="2BF20660" w14:textId="77777777" w:rsidR="00D11A75" w:rsidRDefault="00D11A75" w:rsidP="00D11A75">
            <w:pPr>
              <w:cnfStyle w:val="100000000000" w:firstRow="1" w:lastRow="0" w:firstColumn="0" w:lastColumn="0" w:oddVBand="0" w:evenVBand="0" w:oddHBand="0" w:evenHBand="0" w:firstRowFirstColumn="0" w:firstRowLastColumn="0" w:lastRowFirstColumn="0" w:lastRowLastColumn="0"/>
            </w:pPr>
            <w:r>
              <w:t>Resp.</w:t>
            </w:r>
          </w:p>
        </w:tc>
        <w:tc>
          <w:tcPr>
            <w:tcW w:w="6107" w:type="dxa"/>
          </w:tcPr>
          <w:p w14:paraId="7EEB63E4" w14:textId="77777777" w:rsidR="00D11A75" w:rsidRDefault="00D11A75" w:rsidP="00D11A75">
            <w:pPr>
              <w:cnfStyle w:val="100000000000" w:firstRow="1" w:lastRow="0" w:firstColumn="0" w:lastColumn="0" w:oddVBand="0" w:evenVBand="0" w:oddHBand="0" w:evenHBand="0" w:firstRowFirstColumn="0" w:firstRowLastColumn="0" w:lastRowFirstColumn="0" w:lastRowLastColumn="0"/>
            </w:pPr>
            <w:r>
              <w:t>Description</w:t>
            </w:r>
          </w:p>
        </w:tc>
        <w:tc>
          <w:tcPr>
            <w:tcW w:w="1454" w:type="dxa"/>
          </w:tcPr>
          <w:p w14:paraId="27642BEC" w14:textId="77777777" w:rsidR="00D11A75" w:rsidRDefault="00D11A75" w:rsidP="00D11A75">
            <w:pPr>
              <w:jc w:val="center"/>
              <w:cnfStyle w:val="100000000000" w:firstRow="1" w:lastRow="0" w:firstColumn="0" w:lastColumn="0" w:oddVBand="0" w:evenVBand="0" w:oddHBand="0" w:evenHBand="0" w:firstRowFirstColumn="0" w:firstRowLastColumn="0" w:lastRowFirstColumn="0" w:lastRowLastColumn="0"/>
            </w:pPr>
            <w:r>
              <w:t>Status</w:t>
            </w:r>
            <w:r>
              <w:rPr>
                <w:rStyle w:val="FootnoteReference"/>
              </w:rPr>
              <w:footnoteReference w:id="2"/>
            </w:r>
          </w:p>
        </w:tc>
      </w:tr>
      <w:tr w:rsidR="00D11A75" w:rsidRPr="008A6D95" w14:paraId="76D15A10" w14:textId="77777777" w:rsidTr="00D11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Pr>
          <w:p w14:paraId="18DCA699" w14:textId="77777777" w:rsidR="00D11A75" w:rsidRPr="00723DFA" w:rsidRDefault="00D11A75" w:rsidP="00D11A75">
            <w:pPr>
              <w:rPr>
                <w:rFonts w:ascii="Arial" w:hAnsi="Arial" w:cs="Arial"/>
              </w:rPr>
            </w:pPr>
            <w:r w:rsidRPr="00723DFA">
              <w:rPr>
                <w:rFonts w:ascii="Arial" w:hAnsi="Arial" w:cs="Arial"/>
              </w:rPr>
              <w:t>02/02</w:t>
            </w:r>
          </w:p>
        </w:tc>
        <w:tc>
          <w:tcPr>
            <w:tcW w:w="1293" w:type="dxa"/>
          </w:tcPr>
          <w:p w14:paraId="63EFEA69" w14:textId="77777777" w:rsidR="00D11A75" w:rsidRPr="00723DFA" w:rsidRDefault="00D11A75" w:rsidP="00D11A7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23DFA">
              <w:rPr>
                <w:rFonts w:ascii="Arial" w:hAnsi="Arial" w:cs="Arial"/>
              </w:rPr>
              <w:t>JW</w:t>
            </w:r>
          </w:p>
        </w:tc>
        <w:tc>
          <w:tcPr>
            <w:tcW w:w="6107" w:type="dxa"/>
          </w:tcPr>
          <w:p w14:paraId="0600AC25" w14:textId="77777777" w:rsidR="00D11A75" w:rsidRDefault="00D11A75" w:rsidP="00D11A7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23DFA">
              <w:rPr>
                <w:rFonts w:ascii="Arial" w:hAnsi="Arial" w:cs="Arial"/>
              </w:rPr>
              <w:t xml:space="preserve">Circulate to the SCG list EMI faults on common security libraries </w:t>
            </w:r>
          </w:p>
          <w:p w14:paraId="62D8AD6E" w14:textId="77777777" w:rsidR="00D11A75" w:rsidRPr="000164E2" w:rsidRDefault="00D11A75" w:rsidP="00D11A75">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 xml:space="preserve">OBSOLETE: </w:t>
            </w:r>
            <w:r w:rsidRPr="000164E2">
              <w:rPr>
                <w:i/>
              </w:rPr>
              <w:t>EMI does not deal with federated identity (which was the context of this action)</w:t>
            </w:r>
          </w:p>
        </w:tc>
        <w:tc>
          <w:tcPr>
            <w:tcW w:w="1454" w:type="dxa"/>
          </w:tcPr>
          <w:p w14:paraId="2D823253" w14:textId="2A9A484F" w:rsidR="00D11A75" w:rsidRPr="008A6D95" w:rsidRDefault="00D11A75" w:rsidP="00D11A75">
            <w:pPr>
              <w:jc w:val="center"/>
              <w:cnfStyle w:val="000000100000" w:firstRow="0" w:lastRow="0" w:firstColumn="0" w:lastColumn="0" w:oddVBand="0" w:evenVBand="0" w:oddHBand="1" w:evenHBand="0" w:firstRowFirstColumn="0" w:firstRowLastColumn="0" w:lastRowFirstColumn="0" w:lastRowLastColumn="0"/>
            </w:pPr>
            <w:r>
              <w:rPr>
                <w:color w:val="auto"/>
              </w:rPr>
              <w:t xml:space="preserve">   CLOSED</w:t>
            </w:r>
          </w:p>
        </w:tc>
      </w:tr>
      <w:tr w:rsidR="00D11A75" w:rsidRPr="0074058B" w14:paraId="4570069C" w14:textId="77777777" w:rsidTr="00D11A75">
        <w:tc>
          <w:tcPr>
            <w:cnfStyle w:val="001000000000" w:firstRow="0" w:lastRow="0" w:firstColumn="1" w:lastColumn="0" w:oddVBand="0" w:evenVBand="0" w:oddHBand="0" w:evenHBand="0" w:firstRowFirstColumn="0" w:firstRowLastColumn="0" w:lastRowFirstColumn="0" w:lastRowLastColumn="0"/>
            <w:tcW w:w="768" w:type="dxa"/>
          </w:tcPr>
          <w:p w14:paraId="587915B1" w14:textId="77777777" w:rsidR="00D11A75" w:rsidRPr="00723DFA" w:rsidRDefault="00D11A75" w:rsidP="00D11A75">
            <w:pPr>
              <w:rPr>
                <w:rFonts w:ascii="Arial" w:hAnsi="Arial" w:cs="Arial"/>
              </w:rPr>
            </w:pPr>
            <w:r w:rsidRPr="00723DFA">
              <w:rPr>
                <w:rFonts w:ascii="Arial" w:hAnsi="Arial" w:cs="Arial"/>
              </w:rPr>
              <w:t>03/04</w:t>
            </w:r>
          </w:p>
        </w:tc>
        <w:tc>
          <w:tcPr>
            <w:tcW w:w="1293" w:type="dxa"/>
          </w:tcPr>
          <w:p w14:paraId="38420723" w14:textId="77777777" w:rsidR="00D11A75" w:rsidRPr="00723DFA" w:rsidRDefault="00D11A75" w:rsidP="00D11A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3DFA">
              <w:rPr>
                <w:rFonts w:ascii="Arial" w:hAnsi="Arial" w:cs="Arial"/>
              </w:rPr>
              <w:t>TF</w:t>
            </w:r>
          </w:p>
        </w:tc>
        <w:tc>
          <w:tcPr>
            <w:tcW w:w="6107" w:type="dxa"/>
          </w:tcPr>
          <w:p w14:paraId="58188967" w14:textId="77777777" w:rsidR="00D11A75" w:rsidRDefault="00D11A75" w:rsidP="00D11A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3DFA">
              <w:rPr>
                <w:rFonts w:ascii="Arial" w:hAnsi="Arial" w:cs="Arial"/>
              </w:rPr>
              <w:t xml:space="preserve">To put in place </w:t>
            </w:r>
            <w:proofErr w:type="spellStart"/>
            <w:r w:rsidRPr="00723DFA">
              <w:rPr>
                <w:rFonts w:ascii="Arial" w:hAnsi="Arial" w:cs="Arial"/>
              </w:rPr>
              <w:t>MoU</w:t>
            </w:r>
            <w:proofErr w:type="spellEnd"/>
            <w:r w:rsidRPr="00723DFA">
              <w:rPr>
                <w:rFonts w:ascii="Arial" w:hAnsi="Arial" w:cs="Arial"/>
              </w:rPr>
              <w:t xml:space="preserve"> between EGI and Canadian sites in order to clearly define our relationship</w:t>
            </w:r>
          </w:p>
          <w:p w14:paraId="405C1D65" w14:textId="77777777" w:rsidR="00D11A75" w:rsidRPr="000164E2" w:rsidRDefault="00D11A75" w:rsidP="00D11A75">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SUPERSEDED: Formally open, but tracked in the manager’s action list.</w:t>
            </w:r>
          </w:p>
        </w:tc>
        <w:tc>
          <w:tcPr>
            <w:tcW w:w="1454" w:type="dxa"/>
          </w:tcPr>
          <w:p w14:paraId="28E07187" w14:textId="691EE0A0" w:rsidR="00D11A75" w:rsidRPr="0074058B" w:rsidRDefault="00D11A75" w:rsidP="00D11A75">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    CLOSED</w:t>
            </w:r>
          </w:p>
        </w:tc>
      </w:tr>
      <w:tr w:rsidR="00D11A75" w14:paraId="43830F4C" w14:textId="77777777" w:rsidTr="00D11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Pr>
          <w:p w14:paraId="75BA5BD8" w14:textId="77777777" w:rsidR="00D11A75" w:rsidRPr="00723DFA" w:rsidRDefault="00D11A75" w:rsidP="00D11A75">
            <w:pPr>
              <w:rPr>
                <w:rFonts w:ascii="Arial" w:hAnsi="Arial" w:cs="Arial"/>
              </w:rPr>
            </w:pPr>
            <w:r w:rsidRPr="00723DFA">
              <w:rPr>
                <w:rFonts w:ascii="Arial" w:hAnsi="Arial" w:cs="Arial"/>
              </w:rPr>
              <w:t xml:space="preserve">05/01 </w:t>
            </w:r>
          </w:p>
        </w:tc>
        <w:tc>
          <w:tcPr>
            <w:tcW w:w="1293" w:type="dxa"/>
          </w:tcPr>
          <w:p w14:paraId="0962711F" w14:textId="77777777" w:rsidR="00D11A75" w:rsidRPr="00723DFA" w:rsidRDefault="00D11A75" w:rsidP="00D11A7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23DFA">
              <w:rPr>
                <w:rFonts w:ascii="Arial" w:hAnsi="Arial" w:cs="Arial"/>
              </w:rPr>
              <w:t>DK</w:t>
            </w:r>
          </w:p>
        </w:tc>
        <w:tc>
          <w:tcPr>
            <w:tcW w:w="6107" w:type="dxa"/>
          </w:tcPr>
          <w:p w14:paraId="209A6B49" w14:textId="77777777" w:rsidR="00D11A75" w:rsidRDefault="00D11A75" w:rsidP="00D11A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w:t>
            </w:r>
            <w:r w:rsidRPr="003F1CF9">
              <w:rPr>
                <w:rFonts w:ascii="Arial" w:hAnsi="Arial" w:cs="Arial"/>
              </w:rPr>
              <w:t xml:space="preserve">dd </w:t>
            </w:r>
            <w:r>
              <w:rPr>
                <w:rFonts w:ascii="Arial" w:hAnsi="Arial" w:cs="Arial"/>
              </w:rPr>
              <w:t xml:space="preserve">as agenda point discussion about possibility to translate EGI Security notice to EGI security policy on next </w:t>
            </w:r>
            <w:r w:rsidRPr="003F1CF9">
              <w:rPr>
                <w:rFonts w:ascii="Arial" w:hAnsi="Arial" w:cs="Arial"/>
              </w:rPr>
              <w:t xml:space="preserve">SPG </w:t>
            </w:r>
            <w:r>
              <w:rPr>
                <w:rFonts w:ascii="Arial" w:hAnsi="Arial" w:cs="Arial"/>
              </w:rPr>
              <w:t>face-to-face meeting</w:t>
            </w:r>
          </w:p>
          <w:p w14:paraId="5F128BC3" w14:textId="77777777" w:rsidR="00D11A75" w:rsidRPr="00D0762D" w:rsidRDefault="00D11A75" w:rsidP="00D11A75">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CLOSED: EGI top level security policy in force</w:t>
            </w:r>
          </w:p>
        </w:tc>
        <w:tc>
          <w:tcPr>
            <w:tcW w:w="1454" w:type="dxa"/>
          </w:tcPr>
          <w:p w14:paraId="6588932D" w14:textId="687043A0" w:rsidR="00D11A75" w:rsidRDefault="00D11A75" w:rsidP="00D11A75">
            <w:pPr>
              <w:jc w:val="center"/>
              <w:cnfStyle w:val="000000100000" w:firstRow="0" w:lastRow="0" w:firstColumn="0" w:lastColumn="0" w:oddVBand="0" w:evenVBand="0" w:oddHBand="1" w:evenHBand="0" w:firstRowFirstColumn="0" w:firstRowLastColumn="0" w:lastRowFirstColumn="0" w:lastRowLastColumn="0"/>
            </w:pPr>
            <w:r>
              <w:rPr>
                <w:color w:val="auto"/>
              </w:rPr>
              <w:t>CLOSED</w:t>
            </w:r>
          </w:p>
        </w:tc>
      </w:tr>
      <w:tr w:rsidR="00D11A75" w:rsidRPr="0074058B" w14:paraId="675D7D9B" w14:textId="77777777" w:rsidTr="00D11A75">
        <w:tc>
          <w:tcPr>
            <w:cnfStyle w:val="001000000000" w:firstRow="0" w:lastRow="0" w:firstColumn="1" w:lastColumn="0" w:oddVBand="0" w:evenVBand="0" w:oddHBand="0" w:evenHBand="0" w:firstRowFirstColumn="0" w:firstRowLastColumn="0" w:lastRowFirstColumn="0" w:lastRowLastColumn="0"/>
            <w:tcW w:w="768" w:type="dxa"/>
          </w:tcPr>
          <w:p w14:paraId="15EEAA4F" w14:textId="77777777" w:rsidR="00D11A75" w:rsidRPr="00723DFA" w:rsidRDefault="00D11A75" w:rsidP="00D11A75">
            <w:pPr>
              <w:rPr>
                <w:rFonts w:ascii="Arial" w:hAnsi="Arial" w:cs="Arial"/>
              </w:rPr>
            </w:pPr>
            <w:r w:rsidRPr="00723DFA">
              <w:rPr>
                <w:rFonts w:ascii="Arial" w:hAnsi="Arial" w:cs="Arial"/>
              </w:rPr>
              <w:t>05/02</w:t>
            </w:r>
          </w:p>
        </w:tc>
        <w:tc>
          <w:tcPr>
            <w:tcW w:w="1293" w:type="dxa"/>
          </w:tcPr>
          <w:p w14:paraId="0008480F" w14:textId="77777777" w:rsidR="00D11A75" w:rsidRPr="00723DFA" w:rsidRDefault="00D11A75" w:rsidP="00D11A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3DFA">
              <w:rPr>
                <w:rFonts w:ascii="Arial" w:hAnsi="Arial" w:cs="Arial"/>
              </w:rPr>
              <w:t>MD</w:t>
            </w:r>
          </w:p>
        </w:tc>
        <w:tc>
          <w:tcPr>
            <w:tcW w:w="6107" w:type="dxa"/>
          </w:tcPr>
          <w:p w14:paraId="58C11322" w14:textId="77777777" w:rsidR="00D11A75" w:rsidRDefault="00D11A75" w:rsidP="00D11A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3DFA">
              <w:rPr>
                <w:rFonts w:ascii="Arial" w:hAnsi="Arial" w:cs="Arial"/>
              </w:rPr>
              <w:t>Contact the middleware providers and see which one use proxies and need to deal with proxy related issues that require middleware changes</w:t>
            </w:r>
          </w:p>
          <w:p w14:paraId="0207D53A" w14:textId="77777777" w:rsidR="00D11A75" w:rsidRPr="00D0762D" w:rsidRDefault="00D11A75" w:rsidP="00D11A75">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OPEN: No progress.</w:t>
            </w:r>
          </w:p>
        </w:tc>
        <w:tc>
          <w:tcPr>
            <w:tcW w:w="1454" w:type="dxa"/>
          </w:tcPr>
          <w:p w14:paraId="018BB2F8" w14:textId="77777777" w:rsidR="00D11A75" w:rsidRPr="0074058B" w:rsidRDefault="00D11A75" w:rsidP="00D11A75">
            <w:pPr>
              <w:jc w:val="center"/>
              <w:cnfStyle w:val="000000000000" w:firstRow="0" w:lastRow="0" w:firstColumn="0" w:lastColumn="0" w:oddVBand="0" w:evenVBand="0" w:oddHBand="0" w:evenHBand="0" w:firstRowFirstColumn="0" w:firstRowLastColumn="0" w:lastRowFirstColumn="0" w:lastRowLastColumn="0"/>
            </w:pPr>
            <w:r>
              <w:t>OPEN</w:t>
            </w:r>
          </w:p>
        </w:tc>
      </w:tr>
      <w:tr w:rsidR="00D11A75" w:rsidRPr="0074058B" w14:paraId="0DEB14B9" w14:textId="77777777" w:rsidTr="00D11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Pr>
          <w:p w14:paraId="08A885E9" w14:textId="77777777" w:rsidR="00D11A75" w:rsidRPr="00723DFA" w:rsidRDefault="00D11A75" w:rsidP="00D11A75">
            <w:pPr>
              <w:rPr>
                <w:rFonts w:ascii="Arial" w:hAnsi="Arial" w:cs="Arial"/>
              </w:rPr>
            </w:pPr>
            <w:r w:rsidRPr="00723DFA">
              <w:rPr>
                <w:rFonts w:ascii="Arial" w:hAnsi="Arial" w:cs="Arial"/>
              </w:rPr>
              <w:t>05/0</w:t>
            </w:r>
            <w:r>
              <w:rPr>
                <w:rFonts w:ascii="Arial" w:hAnsi="Arial" w:cs="Arial"/>
              </w:rPr>
              <w:t>7</w:t>
            </w:r>
          </w:p>
        </w:tc>
        <w:tc>
          <w:tcPr>
            <w:tcW w:w="1293" w:type="dxa"/>
          </w:tcPr>
          <w:p w14:paraId="442603E0" w14:textId="77777777" w:rsidR="00D11A75" w:rsidRDefault="00D11A75" w:rsidP="00D11A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DG, SN</w:t>
            </w:r>
          </w:p>
        </w:tc>
        <w:tc>
          <w:tcPr>
            <w:tcW w:w="6107" w:type="dxa"/>
          </w:tcPr>
          <w:p w14:paraId="016F861D" w14:textId="77777777" w:rsidR="00D11A75" w:rsidRDefault="00D11A75" w:rsidP="00D11A7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rPr>
              <w:t>Have a discussion with Ian B</w:t>
            </w:r>
            <w:r w:rsidRPr="00512C90">
              <w:rPr>
                <w:rFonts w:ascii="Arial" w:hAnsi="Arial" w:cs="Arial"/>
              </w:rPr>
              <w:t>ird and</w:t>
            </w:r>
            <w:r>
              <w:rPr>
                <w:rFonts w:ascii="Arial" w:hAnsi="Arial" w:cs="Arial"/>
              </w:rPr>
              <w:t xml:space="preserve"> </w:t>
            </w:r>
            <w:r w:rsidRPr="00512C90">
              <w:rPr>
                <w:rFonts w:ascii="Arial" w:hAnsi="Arial" w:cs="Arial"/>
              </w:rPr>
              <w:t>Jaime</w:t>
            </w:r>
            <w:r>
              <w:rPr>
                <w:rFonts w:ascii="Arial" w:hAnsi="Arial" w:cs="Arial"/>
              </w:rPr>
              <w:t xml:space="preserve"> Sheers about</w:t>
            </w:r>
            <w:r w:rsidRPr="00512C90">
              <w:rPr>
                <w:rFonts w:ascii="Arial" w:hAnsi="Arial" w:cs="Arial"/>
              </w:rPr>
              <w:t xml:space="preserve"> what is their understanding of </w:t>
            </w:r>
            <w:r w:rsidRPr="00B73002">
              <w:rPr>
                <w:rFonts w:ascii="Arial" w:hAnsi="Arial" w:cs="Arial"/>
                <w:color w:val="auto"/>
              </w:rPr>
              <w:t xml:space="preserve">priority in </w:t>
            </w:r>
            <w:proofErr w:type="spellStart"/>
            <w:r w:rsidRPr="00B73002">
              <w:rPr>
                <w:rFonts w:ascii="Arial" w:hAnsi="Arial" w:cs="Arial"/>
                <w:color w:val="auto"/>
              </w:rPr>
              <w:t>LHCb</w:t>
            </w:r>
            <w:proofErr w:type="spellEnd"/>
          </w:p>
          <w:p w14:paraId="2E78C2EE" w14:textId="77777777" w:rsidR="00D11A75" w:rsidRPr="00D0762D" w:rsidRDefault="00D11A75" w:rsidP="00D11A75">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color w:val="auto"/>
              </w:rPr>
              <w:t>CLOSED: SHA-2 readiness is dealt with at the TCB</w:t>
            </w:r>
          </w:p>
        </w:tc>
        <w:tc>
          <w:tcPr>
            <w:tcW w:w="1454" w:type="dxa"/>
          </w:tcPr>
          <w:p w14:paraId="69DAE75F" w14:textId="5245C070" w:rsidR="00D11A75" w:rsidRPr="0074058B" w:rsidRDefault="00D11A75" w:rsidP="00D11A75">
            <w:pPr>
              <w:jc w:val="center"/>
              <w:cnfStyle w:val="000000100000" w:firstRow="0" w:lastRow="0" w:firstColumn="0" w:lastColumn="0" w:oddVBand="0" w:evenVBand="0" w:oddHBand="1" w:evenHBand="0" w:firstRowFirstColumn="0" w:firstRowLastColumn="0" w:lastRowFirstColumn="0" w:lastRowLastColumn="0"/>
            </w:pPr>
            <w:r>
              <w:rPr>
                <w:color w:val="auto"/>
              </w:rPr>
              <w:t>CLOSED</w:t>
            </w:r>
          </w:p>
        </w:tc>
      </w:tr>
      <w:tr w:rsidR="00D11A75" w:rsidRPr="0074058B" w14:paraId="08E23083" w14:textId="77777777" w:rsidTr="00D11A75">
        <w:tc>
          <w:tcPr>
            <w:cnfStyle w:val="001000000000" w:firstRow="0" w:lastRow="0" w:firstColumn="1" w:lastColumn="0" w:oddVBand="0" w:evenVBand="0" w:oddHBand="0" w:evenHBand="0" w:firstRowFirstColumn="0" w:firstRowLastColumn="0" w:lastRowFirstColumn="0" w:lastRowLastColumn="0"/>
            <w:tcW w:w="768" w:type="dxa"/>
          </w:tcPr>
          <w:p w14:paraId="0E86B9E7" w14:textId="77777777" w:rsidR="00D11A75" w:rsidRPr="00723DFA" w:rsidRDefault="00D11A75" w:rsidP="00D11A75">
            <w:pPr>
              <w:rPr>
                <w:rFonts w:ascii="Arial" w:hAnsi="Arial" w:cs="Arial"/>
              </w:rPr>
            </w:pPr>
            <w:r w:rsidRPr="00723DFA">
              <w:rPr>
                <w:rFonts w:ascii="Arial" w:hAnsi="Arial" w:cs="Arial"/>
              </w:rPr>
              <w:t>05/0</w:t>
            </w:r>
            <w:r>
              <w:rPr>
                <w:rFonts w:ascii="Arial" w:hAnsi="Arial" w:cs="Arial"/>
              </w:rPr>
              <w:t>8</w:t>
            </w:r>
          </w:p>
        </w:tc>
        <w:tc>
          <w:tcPr>
            <w:tcW w:w="1293" w:type="dxa"/>
          </w:tcPr>
          <w:p w14:paraId="61968B56" w14:textId="77777777" w:rsidR="00D11A75" w:rsidRDefault="00D11A75" w:rsidP="00D11A7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SN</w:t>
            </w:r>
          </w:p>
        </w:tc>
        <w:tc>
          <w:tcPr>
            <w:tcW w:w="6107" w:type="dxa"/>
          </w:tcPr>
          <w:p w14:paraId="676C59D3" w14:textId="77777777" w:rsidR="00D11A75" w:rsidRDefault="00D11A75" w:rsidP="00D11A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229D9">
              <w:rPr>
                <w:rFonts w:ascii="Arial" w:hAnsi="Arial" w:cs="Arial"/>
              </w:rPr>
              <w:t xml:space="preserve">Set up doodle for the next </w:t>
            </w:r>
            <w:r>
              <w:rPr>
                <w:rFonts w:ascii="Arial" w:hAnsi="Arial" w:cs="Arial"/>
              </w:rPr>
              <w:t>SCG meeting, to be held</w:t>
            </w:r>
            <w:r w:rsidRPr="00B229D9">
              <w:rPr>
                <w:rFonts w:ascii="Arial" w:hAnsi="Arial" w:cs="Arial"/>
              </w:rPr>
              <w:t xml:space="preserve"> approximately </w:t>
            </w:r>
            <w:r>
              <w:rPr>
                <w:rFonts w:ascii="Arial" w:hAnsi="Arial" w:cs="Arial"/>
              </w:rPr>
              <w:t xml:space="preserve">in the </w:t>
            </w:r>
            <w:r w:rsidRPr="00B229D9">
              <w:rPr>
                <w:rFonts w:ascii="Arial" w:hAnsi="Arial" w:cs="Arial"/>
              </w:rPr>
              <w:t xml:space="preserve">middle of February </w:t>
            </w:r>
          </w:p>
          <w:p w14:paraId="42BEEFF5" w14:textId="77777777" w:rsidR="00D11A75" w:rsidRPr="00D0762D" w:rsidRDefault="00D11A75" w:rsidP="00D11A75">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CLOSED</w:t>
            </w:r>
          </w:p>
        </w:tc>
        <w:tc>
          <w:tcPr>
            <w:tcW w:w="1454" w:type="dxa"/>
          </w:tcPr>
          <w:p w14:paraId="320870F5" w14:textId="3460309A" w:rsidR="00D11A75" w:rsidRPr="0074058B" w:rsidRDefault="00D11A75" w:rsidP="00D11A75">
            <w:pPr>
              <w:jc w:val="center"/>
              <w:cnfStyle w:val="000000000000" w:firstRow="0" w:lastRow="0" w:firstColumn="0" w:lastColumn="0" w:oddVBand="0" w:evenVBand="0" w:oddHBand="0" w:evenHBand="0" w:firstRowFirstColumn="0" w:firstRowLastColumn="0" w:lastRowFirstColumn="0" w:lastRowLastColumn="0"/>
            </w:pPr>
            <w:r>
              <w:rPr>
                <w:color w:val="auto"/>
              </w:rPr>
              <w:t>CLOSED</w:t>
            </w:r>
          </w:p>
        </w:tc>
      </w:tr>
      <w:tr w:rsidR="00D11A75" w14:paraId="5F273BAB" w14:textId="77777777" w:rsidTr="00D11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Pr>
          <w:p w14:paraId="686BCC55" w14:textId="77777777" w:rsidR="00D11A75" w:rsidRPr="00723DFA" w:rsidRDefault="00D11A75" w:rsidP="00D11A75">
            <w:pPr>
              <w:rPr>
                <w:rFonts w:ascii="Arial" w:hAnsi="Arial" w:cs="Arial"/>
              </w:rPr>
            </w:pPr>
            <w:r>
              <w:rPr>
                <w:rFonts w:ascii="Arial" w:hAnsi="Arial" w:cs="Arial"/>
              </w:rPr>
              <w:t>06/01</w:t>
            </w:r>
          </w:p>
        </w:tc>
        <w:tc>
          <w:tcPr>
            <w:tcW w:w="1293" w:type="dxa"/>
          </w:tcPr>
          <w:p w14:paraId="0A8AC24E" w14:textId="77777777" w:rsidR="00D11A75" w:rsidRDefault="00D11A75" w:rsidP="00D11A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TF</w:t>
            </w:r>
          </w:p>
        </w:tc>
        <w:tc>
          <w:tcPr>
            <w:tcW w:w="6107" w:type="dxa"/>
          </w:tcPr>
          <w:p w14:paraId="084CF39F" w14:textId="77777777" w:rsidR="00D11A75" w:rsidRDefault="00D11A75" w:rsidP="00D11A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Contact A. Di </w:t>
            </w:r>
            <w:proofErr w:type="spellStart"/>
            <w:r>
              <w:rPr>
                <w:rFonts w:ascii="Arial" w:hAnsi="Arial" w:cs="Arial"/>
              </w:rPr>
              <w:t>Meglio</w:t>
            </w:r>
            <w:proofErr w:type="spellEnd"/>
            <w:r>
              <w:rPr>
                <w:rFonts w:ascii="Arial" w:hAnsi="Arial" w:cs="Arial"/>
              </w:rPr>
              <w:t>/B. Konya to ask extensions for WN and UI until end of 2012</w:t>
            </w:r>
          </w:p>
          <w:p w14:paraId="0B2AC09B" w14:textId="77777777" w:rsidR="00D11A75" w:rsidRPr="00D0762D" w:rsidRDefault="00D11A75" w:rsidP="00D11A75">
            <w:pPr>
              <w:cnfStyle w:val="000000100000" w:firstRow="0" w:lastRow="0" w:firstColumn="0" w:lastColumn="0" w:oddVBand="0" w:evenVBand="0" w:oddHBand="1" w:evenHBand="0" w:firstRowFirstColumn="0" w:firstRowLastColumn="0" w:lastRowFirstColumn="0" w:lastRowLastColumn="0"/>
              <w:rPr>
                <w:rFonts w:ascii="Arial" w:hAnsi="Arial" w:cs="Arial"/>
                <w:i/>
                <w:color w:val="auto"/>
              </w:rPr>
            </w:pPr>
            <w:r>
              <w:rPr>
                <w:rFonts w:ascii="Arial" w:hAnsi="Arial" w:cs="Arial"/>
                <w:i/>
              </w:rPr>
              <w:t xml:space="preserve">CLOSED: EMI agreed to support extension until 30 November 2012. UI components used in SAM will be supported until SAM Update 22. WN in UMD-2 includes 32 bit libraries for VOs that still rely on them from </w:t>
            </w:r>
            <w:proofErr w:type="spellStart"/>
            <w:r>
              <w:rPr>
                <w:rFonts w:ascii="Arial" w:hAnsi="Arial" w:cs="Arial"/>
                <w:i/>
              </w:rPr>
              <w:t>gLite</w:t>
            </w:r>
            <w:proofErr w:type="spellEnd"/>
            <w:r>
              <w:rPr>
                <w:rFonts w:ascii="Arial" w:hAnsi="Arial" w:cs="Arial"/>
                <w:i/>
              </w:rPr>
              <w:t xml:space="preserve"> 3.2</w:t>
            </w:r>
          </w:p>
        </w:tc>
        <w:tc>
          <w:tcPr>
            <w:tcW w:w="1454" w:type="dxa"/>
          </w:tcPr>
          <w:p w14:paraId="022BA360" w14:textId="3D2B32E9" w:rsidR="00D11A75" w:rsidRDefault="00D11A75" w:rsidP="00D11A75">
            <w:pPr>
              <w:jc w:val="center"/>
              <w:cnfStyle w:val="000000100000" w:firstRow="0" w:lastRow="0" w:firstColumn="0" w:lastColumn="0" w:oddVBand="0" w:evenVBand="0" w:oddHBand="1" w:evenHBand="0" w:firstRowFirstColumn="0" w:firstRowLastColumn="0" w:lastRowFirstColumn="0" w:lastRowLastColumn="0"/>
            </w:pPr>
            <w:r>
              <w:rPr>
                <w:color w:val="auto"/>
              </w:rPr>
              <w:t>CLOSED</w:t>
            </w:r>
          </w:p>
        </w:tc>
      </w:tr>
      <w:tr w:rsidR="00D11A75" w14:paraId="4905D7DD" w14:textId="77777777" w:rsidTr="00D11A75">
        <w:tc>
          <w:tcPr>
            <w:cnfStyle w:val="001000000000" w:firstRow="0" w:lastRow="0" w:firstColumn="1" w:lastColumn="0" w:oddVBand="0" w:evenVBand="0" w:oddHBand="0" w:evenHBand="0" w:firstRowFirstColumn="0" w:firstRowLastColumn="0" w:lastRowFirstColumn="0" w:lastRowLastColumn="0"/>
            <w:tcW w:w="768" w:type="dxa"/>
          </w:tcPr>
          <w:p w14:paraId="7F28E5E3" w14:textId="77777777" w:rsidR="00D11A75" w:rsidRPr="00723DFA" w:rsidRDefault="00D11A75" w:rsidP="00D11A75">
            <w:pPr>
              <w:rPr>
                <w:rFonts w:ascii="Arial" w:hAnsi="Arial" w:cs="Arial"/>
              </w:rPr>
            </w:pPr>
            <w:r>
              <w:rPr>
                <w:rFonts w:ascii="Arial" w:hAnsi="Arial" w:cs="Arial"/>
              </w:rPr>
              <w:t>06/02</w:t>
            </w:r>
          </w:p>
        </w:tc>
        <w:tc>
          <w:tcPr>
            <w:tcW w:w="1293" w:type="dxa"/>
          </w:tcPr>
          <w:p w14:paraId="5F083358" w14:textId="77777777" w:rsidR="00D11A75" w:rsidRDefault="00D11A75" w:rsidP="00D11A7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ML</w:t>
            </w:r>
          </w:p>
        </w:tc>
        <w:tc>
          <w:tcPr>
            <w:tcW w:w="6107" w:type="dxa"/>
          </w:tcPr>
          <w:p w14:paraId="58A696CD" w14:textId="77777777" w:rsidR="00D11A75" w:rsidRDefault="00D11A75" w:rsidP="00D11A7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Contact DPM and LFC developers to clarify which is the actual end of support for those components, if there are </w:t>
            </w:r>
            <w:r>
              <w:rPr>
                <w:rFonts w:ascii="Arial" w:hAnsi="Arial" w:cs="Arial"/>
              </w:rPr>
              <w:lastRenderedPageBreak/>
              <w:t>extensions foreseen</w:t>
            </w:r>
          </w:p>
          <w:p w14:paraId="09F41C87" w14:textId="77777777" w:rsidR="00D11A75" w:rsidRPr="009D4899" w:rsidRDefault="00D11A75" w:rsidP="00D11A75">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CLOSED: No support extensions for LFC and DPM, they are in end of life since 30 November 2012</w:t>
            </w:r>
          </w:p>
        </w:tc>
        <w:tc>
          <w:tcPr>
            <w:tcW w:w="1454" w:type="dxa"/>
          </w:tcPr>
          <w:p w14:paraId="74F729A7" w14:textId="165C6D55" w:rsidR="00D11A75" w:rsidRDefault="004C4B06" w:rsidP="00D11A75">
            <w:pPr>
              <w:jc w:val="center"/>
              <w:cnfStyle w:val="000000000000" w:firstRow="0" w:lastRow="0" w:firstColumn="0" w:lastColumn="0" w:oddVBand="0" w:evenVBand="0" w:oddHBand="0" w:evenHBand="0" w:firstRowFirstColumn="0" w:firstRowLastColumn="0" w:lastRowFirstColumn="0" w:lastRowLastColumn="0"/>
            </w:pPr>
            <w:r>
              <w:rPr>
                <w:color w:val="auto"/>
              </w:rPr>
              <w:lastRenderedPageBreak/>
              <w:t>CLOSED</w:t>
            </w:r>
          </w:p>
        </w:tc>
      </w:tr>
      <w:tr w:rsidR="00D11A75" w14:paraId="321242CB" w14:textId="77777777" w:rsidTr="00D11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Pr>
          <w:p w14:paraId="00371E38" w14:textId="77777777" w:rsidR="00D11A75" w:rsidRDefault="00D11A75" w:rsidP="00D11A75">
            <w:pPr>
              <w:rPr>
                <w:rFonts w:ascii="Arial" w:hAnsi="Arial" w:cs="Arial"/>
              </w:rPr>
            </w:pPr>
            <w:r>
              <w:rPr>
                <w:rFonts w:ascii="Arial" w:hAnsi="Arial" w:cs="Arial"/>
              </w:rPr>
              <w:lastRenderedPageBreak/>
              <w:t>06/02</w:t>
            </w:r>
          </w:p>
        </w:tc>
        <w:tc>
          <w:tcPr>
            <w:tcW w:w="1293" w:type="dxa"/>
          </w:tcPr>
          <w:p w14:paraId="5D8EF128" w14:textId="77777777" w:rsidR="00D11A75" w:rsidRDefault="00D11A75" w:rsidP="00D11A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TCB</w:t>
            </w:r>
          </w:p>
        </w:tc>
        <w:tc>
          <w:tcPr>
            <w:tcW w:w="6107" w:type="dxa"/>
          </w:tcPr>
          <w:p w14:paraId="4FC668D1" w14:textId="77777777" w:rsidR="00D11A75" w:rsidRDefault="00D11A75" w:rsidP="00D11A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Review the components before the end of security update, in order to assess which components need an extension</w:t>
            </w:r>
          </w:p>
          <w:p w14:paraId="09B007A0" w14:textId="77777777" w:rsidR="00D11A75" w:rsidRPr="009D4899" w:rsidRDefault="00D11A75" w:rsidP="00D11A75">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 xml:space="preserve">CLOSED: EMI-2 is backwards compatible to EMI-1 with respect to the components that reach end of security support in </w:t>
            </w:r>
            <w:proofErr w:type="spellStart"/>
            <w:r>
              <w:rPr>
                <w:rFonts w:ascii="Arial" w:hAnsi="Arial" w:cs="Arial"/>
                <w:i/>
              </w:rPr>
              <w:t>gLite</w:t>
            </w:r>
            <w:proofErr w:type="spellEnd"/>
            <w:r>
              <w:rPr>
                <w:rFonts w:ascii="Arial" w:hAnsi="Arial" w:cs="Arial"/>
                <w:i/>
              </w:rPr>
              <w:t xml:space="preserve"> 3.2. Sites in question update to EMI-2, skipping EMI-1.</w:t>
            </w:r>
          </w:p>
        </w:tc>
        <w:tc>
          <w:tcPr>
            <w:tcW w:w="1454" w:type="dxa"/>
          </w:tcPr>
          <w:p w14:paraId="4121359B" w14:textId="5BD12DE3" w:rsidR="00D11A75" w:rsidRDefault="004C4B06" w:rsidP="00D11A75">
            <w:pPr>
              <w:jc w:val="center"/>
              <w:cnfStyle w:val="000000100000" w:firstRow="0" w:lastRow="0" w:firstColumn="0" w:lastColumn="0" w:oddVBand="0" w:evenVBand="0" w:oddHBand="1" w:evenHBand="0" w:firstRowFirstColumn="0" w:firstRowLastColumn="0" w:lastRowFirstColumn="0" w:lastRowLastColumn="0"/>
            </w:pPr>
            <w:r>
              <w:rPr>
                <w:color w:val="auto"/>
              </w:rPr>
              <w:t>CLOSED</w:t>
            </w:r>
          </w:p>
        </w:tc>
      </w:tr>
      <w:tr w:rsidR="00D11A75" w14:paraId="73535009" w14:textId="77777777" w:rsidTr="00D11A75">
        <w:tc>
          <w:tcPr>
            <w:cnfStyle w:val="001000000000" w:firstRow="0" w:lastRow="0" w:firstColumn="1" w:lastColumn="0" w:oddVBand="0" w:evenVBand="0" w:oddHBand="0" w:evenHBand="0" w:firstRowFirstColumn="0" w:firstRowLastColumn="0" w:lastRowFirstColumn="0" w:lastRowLastColumn="0"/>
            <w:tcW w:w="768" w:type="dxa"/>
          </w:tcPr>
          <w:p w14:paraId="0199242A" w14:textId="77777777" w:rsidR="00D11A75" w:rsidRDefault="00D11A75" w:rsidP="00D11A75">
            <w:pPr>
              <w:rPr>
                <w:rFonts w:ascii="Arial" w:hAnsi="Arial" w:cs="Arial"/>
              </w:rPr>
            </w:pPr>
            <w:r>
              <w:rPr>
                <w:rFonts w:ascii="Arial" w:hAnsi="Arial" w:cs="Arial"/>
              </w:rPr>
              <w:t>06/03</w:t>
            </w:r>
          </w:p>
        </w:tc>
        <w:tc>
          <w:tcPr>
            <w:tcW w:w="1293" w:type="dxa"/>
          </w:tcPr>
          <w:p w14:paraId="6B0D1E7F" w14:textId="77777777" w:rsidR="00D11A75" w:rsidRDefault="00D11A75" w:rsidP="00D11A7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Operations</w:t>
            </w:r>
          </w:p>
        </w:tc>
        <w:tc>
          <w:tcPr>
            <w:tcW w:w="6107" w:type="dxa"/>
          </w:tcPr>
          <w:p w14:paraId="7157D3AA" w14:textId="77777777" w:rsidR="00D11A75" w:rsidRDefault="00D11A75" w:rsidP="00D11A7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Identify where EMI-1 components miss a working replacement in EMI-2 (as an input for Action 06/02) – deadline Dec 2012</w:t>
            </w:r>
          </w:p>
          <w:p w14:paraId="51600AEE" w14:textId="77777777" w:rsidR="00D11A75" w:rsidRPr="001D50BA" w:rsidRDefault="00D11A75" w:rsidP="00D11A75">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CLOSED – EMI-2 is backwards compatible to EMI-1 (with very few uncritical exceptions, e.g. ARC)</w:t>
            </w:r>
          </w:p>
        </w:tc>
        <w:tc>
          <w:tcPr>
            <w:tcW w:w="1454" w:type="dxa"/>
          </w:tcPr>
          <w:p w14:paraId="6C903522" w14:textId="0BD596FD" w:rsidR="00D11A75" w:rsidRDefault="004C4B06" w:rsidP="00D11A75">
            <w:pPr>
              <w:jc w:val="center"/>
              <w:cnfStyle w:val="000000000000" w:firstRow="0" w:lastRow="0" w:firstColumn="0" w:lastColumn="0" w:oddVBand="0" w:evenVBand="0" w:oddHBand="0" w:evenHBand="0" w:firstRowFirstColumn="0" w:firstRowLastColumn="0" w:lastRowFirstColumn="0" w:lastRowLastColumn="0"/>
            </w:pPr>
            <w:r>
              <w:rPr>
                <w:color w:val="auto"/>
              </w:rPr>
              <w:t>CLOSED</w:t>
            </w:r>
          </w:p>
        </w:tc>
      </w:tr>
      <w:tr w:rsidR="00D11A75" w14:paraId="4DD5AADD" w14:textId="77777777" w:rsidTr="00D11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Pr>
          <w:p w14:paraId="5E325EAE" w14:textId="77777777" w:rsidR="00D11A75" w:rsidRDefault="00D11A75" w:rsidP="00D11A75">
            <w:pPr>
              <w:rPr>
                <w:rFonts w:ascii="Arial" w:hAnsi="Arial" w:cs="Arial"/>
              </w:rPr>
            </w:pPr>
            <w:r>
              <w:rPr>
                <w:rFonts w:ascii="Arial" w:hAnsi="Arial" w:cs="Arial"/>
              </w:rPr>
              <w:t>06/04</w:t>
            </w:r>
          </w:p>
        </w:tc>
        <w:tc>
          <w:tcPr>
            <w:tcW w:w="1293" w:type="dxa"/>
          </w:tcPr>
          <w:p w14:paraId="4D672B54" w14:textId="77777777" w:rsidR="00D11A75" w:rsidRDefault="00D11A75" w:rsidP="00D11A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 Gabriel</w:t>
            </w:r>
          </w:p>
        </w:tc>
        <w:tc>
          <w:tcPr>
            <w:tcW w:w="6107" w:type="dxa"/>
          </w:tcPr>
          <w:p w14:paraId="09F6017F" w14:textId="77777777" w:rsidR="00D11A75" w:rsidRDefault="00D11A75" w:rsidP="00D11A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To prepare a </w:t>
            </w:r>
            <w:proofErr w:type="spellStart"/>
            <w:r>
              <w:rPr>
                <w:rFonts w:ascii="Arial" w:hAnsi="Arial" w:cs="Arial"/>
              </w:rPr>
              <w:t>gLite</w:t>
            </w:r>
            <w:proofErr w:type="spellEnd"/>
            <w:r>
              <w:rPr>
                <w:rFonts w:ascii="Arial" w:hAnsi="Arial" w:cs="Arial"/>
              </w:rPr>
              <w:t xml:space="preserve"> 3.2 retirement calendar advisory draft and circulate it to SCG</w:t>
            </w:r>
          </w:p>
          <w:p w14:paraId="3DA41FA8" w14:textId="77777777" w:rsidR="00D11A75" w:rsidRPr="00F74C95" w:rsidRDefault="00D11A75" w:rsidP="00D11A75">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OPEN: Discussion is ongoing in RT</w:t>
            </w:r>
          </w:p>
        </w:tc>
        <w:tc>
          <w:tcPr>
            <w:tcW w:w="1454" w:type="dxa"/>
          </w:tcPr>
          <w:p w14:paraId="5C5F448D" w14:textId="77777777" w:rsidR="00D11A75" w:rsidRDefault="00D11A75" w:rsidP="00D11A75">
            <w:pPr>
              <w:jc w:val="center"/>
              <w:cnfStyle w:val="000000100000" w:firstRow="0" w:lastRow="0" w:firstColumn="0" w:lastColumn="0" w:oddVBand="0" w:evenVBand="0" w:oddHBand="1" w:evenHBand="0" w:firstRowFirstColumn="0" w:firstRowLastColumn="0" w:lastRowFirstColumn="0" w:lastRowLastColumn="0"/>
            </w:pPr>
            <w:r>
              <w:t>OPEN</w:t>
            </w:r>
          </w:p>
        </w:tc>
      </w:tr>
      <w:tr w:rsidR="00D11A75" w14:paraId="0F403B10" w14:textId="77777777" w:rsidTr="00D11A75">
        <w:tc>
          <w:tcPr>
            <w:cnfStyle w:val="001000000000" w:firstRow="0" w:lastRow="0" w:firstColumn="1" w:lastColumn="0" w:oddVBand="0" w:evenVBand="0" w:oddHBand="0" w:evenHBand="0" w:firstRowFirstColumn="0" w:firstRowLastColumn="0" w:lastRowFirstColumn="0" w:lastRowLastColumn="0"/>
            <w:tcW w:w="768" w:type="dxa"/>
          </w:tcPr>
          <w:p w14:paraId="1908D1BB" w14:textId="77777777" w:rsidR="00D11A75" w:rsidRDefault="00D11A75" w:rsidP="00D11A75">
            <w:pPr>
              <w:rPr>
                <w:rFonts w:ascii="Arial" w:hAnsi="Arial" w:cs="Arial"/>
              </w:rPr>
            </w:pPr>
            <w:r>
              <w:rPr>
                <w:rFonts w:ascii="Arial" w:hAnsi="Arial" w:cs="Arial"/>
              </w:rPr>
              <w:t>07/01</w:t>
            </w:r>
          </w:p>
        </w:tc>
        <w:tc>
          <w:tcPr>
            <w:tcW w:w="1293" w:type="dxa"/>
          </w:tcPr>
          <w:p w14:paraId="0262A690" w14:textId="77777777" w:rsidR="00D11A75" w:rsidRDefault="00D11A75" w:rsidP="00D11A7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DK</w:t>
            </w:r>
          </w:p>
        </w:tc>
        <w:tc>
          <w:tcPr>
            <w:tcW w:w="6107" w:type="dxa"/>
          </w:tcPr>
          <w:p w14:paraId="1D9C9B8F" w14:textId="77777777" w:rsidR="00D11A75" w:rsidRDefault="00D11A75" w:rsidP="00D11A7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Discuss acknowledgment article in the AUP with the SPG members</w:t>
            </w:r>
          </w:p>
        </w:tc>
        <w:tc>
          <w:tcPr>
            <w:tcW w:w="1454" w:type="dxa"/>
          </w:tcPr>
          <w:p w14:paraId="1C088E1A" w14:textId="77777777" w:rsidR="00D11A75" w:rsidRDefault="00D11A75" w:rsidP="00D11A75">
            <w:pPr>
              <w:jc w:val="center"/>
              <w:cnfStyle w:val="000000000000" w:firstRow="0" w:lastRow="0" w:firstColumn="0" w:lastColumn="0" w:oddVBand="0" w:evenVBand="0" w:oddHBand="0" w:evenHBand="0" w:firstRowFirstColumn="0" w:firstRowLastColumn="0" w:lastRowFirstColumn="0" w:lastRowLastColumn="0"/>
            </w:pPr>
            <w:r>
              <w:t>NEW</w:t>
            </w:r>
          </w:p>
        </w:tc>
      </w:tr>
    </w:tbl>
    <w:p w14:paraId="2890F539" w14:textId="6FAA9B18" w:rsidR="004A01E8" w:rsidRDefault="004A01E8" w:rsidP="00782132">
      <w:pPr>
        <w:pStyle w:val="Heading1"/>
        <w:rPr>
          <w:rFonts w:ascii="Arial" w:hAnsi="Arial" w:cs="Arial"/>
        </w:rPr>
      </w:pPr>
      <w:r>
        <w:rPr>
          <w:rFonts w:ascii="Arial" w:hAnsi="Arial" w:cs="Arial"/>
        </w:rPr>
        <w:br w:type="page"/>
      </w:r>
    </w:p>
    <w:p w14:paraId="4A2A6B84" w14:textId="700ECD3F" w:rsidR="00406E03" w:rsidRPr="00406E03" w:rsidRDefault="00410F8C" w:rsidP="00406E03">
      <w:pPr>
        <w:rPr>
          <w:rFonts w:ascii="Arial" w:hAnsi="Arial" w:cs="Arial"/>
        </w:rPr>
      </w:pPr>
      <w:r>
        <w:rPr>
          <w:rFonts w:ascii="Arial" w:hAnsi="Arial" w:cs="Arial"/>
        </w:rPr>
        <w:lastRenderedPageBreak/>
        <w:t>Minutes prepared</w:t>
      </w:r>
      <w:r w:rsidR="00280756">
        <w:rPr>
          <w:rFonts w:ascii="Arial" w:hAnsi="Arial" w:cs="Arial"/>
        </w:rPr>
        <w:t xml:space="preserve"> by</w:t>
      </w:r>
      <w:r w:rsidR="001A2E14">
        <w:rPr>
          <w:rFonts w:ascii="Arial" w:hAnsi="Arial" w:cs="Arial"/>
        </w:rPr>
        <w:t xml:space="preserve"> </w:t>
      </w:r>
      <w:r w:rsidR="00280756">
        <w:rPr>
          <w:rFonts w:ascii="Arial" w:hAnsi="Arial" w:cs="Arial"/>
        </w:rPr>
        <w:t xml:space="preserve">       </w:t>
      </w:r>
      <w:proofErr w:type="spellStart"/>
      <w:r w:rsidR="00211BB4">
        <w:rPr>
          <w:rFonts w:ascii="Arial" w:hAnsi="Arial" w:cs="Arial"/>
        </w:rPr>
        <w:t>Damir</w:t>
      </w:r>
      <w:proofErr w:type="spellEnd"/>
      <w:r w:rsidR="00211BB4">
        <w:rPr>
          <w:rFonts w:ascii="Arial" w:hAnsi="Arial" w:cs="Arial"/>
        </w:rPr>
        <w:t xml:space="preserve"> </w:t>
      </w:r>
      <w:proofErr w:type="spellStart"/>
      <w:r w:rsidR="00211BB4">
        <w:rPr>
          <w:rFonts w:ascii="Arial" w:hAnsi="Arial" w:cs="Arial"/>
        </w:rPr>
        <w:t>Marinovic</w:t>
      </w:r>
      <w:proofErr w:type="spellEnd"/>
      <w:r w:rsidR="00314346">
        <w:rPr>
          <w:rFonts w:ascii="Arial" w:hAnsi="Arial" w:cs="Arial"/>
        </w:rPr>
        <w:t xml:space="preserve"> </w:t>
      </w:r>
      <w:r w:rsidR="00211BB4">
        <w:rPr>
          <w:rFonts w:ascii="Arial" w:hAnsi="Arial" w:cs="Arial"/>
        </w:rPr>
        <w:t>07</w:t>
      </w:r>
      <w:r w:rsidR="00305DD0" w:rsidRPr="00A52A79">
        <w:rPr>
          <w:rFonts w:ascii="Arial" w:hAnsi="Arial" w:cs="Arial"/>
        </w:rPr>
        <w:t>.0</w:t>
      </w:r>
      <w:r w:rsidR="00211BB4">
        <w:rPr>
          <w:rFonts w:ascii="Arial" w:hAnsi="Arial" w:cs="Arial"/>
        </w:rPr>
        <w:t>2</w:t>
      </w:r>
      <w:r w:rsidR="00305DD0" w:rsidRPr="00A52A79">
        <w:rPr>
          <w:rFonts w:ascii="Arial" w:hAnsi="Arial" w:cs="Arial"/>
        </w:rPr>
        <w:t>.2012</w:t>
      </w:r>
      <w:r w:rsidR="002B3761" w:rsidRPr="00A52A79">
        <w:rPr>
          <w:rFonts w:ascii="Arial" w:hAnsi="Arial" w:cs="Arial"/>
        </w:rPr>
        <w:t>.</w:t>
      </w:r>
    </w:p>
    <w:p w14:paraId="586B8C41" w14:textId="77777777" w:rsidR="00406E03" w:rsidRPr="00406E03" w:rsidRDefault="00406E03" w:rsidP="00406E03">
      <w:pPr>
        <w:rPr>
          <w:rFonts w:ascii="Arial" w:hAnsi="Arial" w:cs="Arial"/>
        </w:rPr>
      </w:pPr>
    </w:p>
    <w:p w14:paraId="30F089A2" w14:textId="5FB1279A" w:rsidR="00406E03" w:rsidRDefault="00410F8C" w:rsidP="00406E03">
      <w:pPr>
        <w:rPr>
          <w:rFonts w:ascii="Arial" w:hAnsi="Arial" w:cs="Arial"/>
        </w:rPr>
      </w:pPr>
      <w:r>
        <w:rPr>
          <w:rFonts w:ascii="Arial" w:hAnsi="Arial" w:cs="Arial"/>
        </w:rPr>
        <w:t xml:space="preserve">Minutes Approved           </w:t>
      </w:r>
      <w:r w:rsidR="00E93D53">
        <w:rPr>
          <w:rFonts w:ascii="Arial" w:hAnsi="Arial" w:cs="Arial"/>
        </w:rPr>
        <w:t>Group</w:t>
      </w:r>
      <w:r w:rsidR="009D34A2">
        <w:rPr>
          <w:rFonts w:ascii="Arial" w:hAnsi="Arial" w:cs="Arial"/>
        </w:rPr>
        <w:t xml:space="preserve"> </w:t>
      </w:r>
      <w:r>
        <w:rPr>
          <w:rFonts w:ascii="Arial" w:hAnsi="Arial" w:cs="Arial"/>
        </w:rPr>
        <w:t xml:space="preserve">Chair </w:t>
      </w:r>
      <w:r w:rsidR="004300FC">
        <w:rPr>
          <w:rFonts w:ascii="Arial" w:hAnsi="Arial" w:cs="Arial"/>
        </w:rPr>
        <w:t xml:space="preserve">Steven Newhouse </w:t>
      </w:r>
    </w:p>
    <w:p w14:paraId="16DCD489" w14:textId="5A51159C" w:rsidR="00410F8C" w:rsidRDefault="00410F8C" w:rsidP="00406E03">
      <w:pPr>
        <w:rPr>
          <w:rFonts w:ascii="Arial" w:hAnsi="Arial" w:cs="Arial"/>
        </w:rPr>
      </w:pPr>
      <w:r>
        <w:rPr>
          <w:rFonts w:ascii="Arial" w:hAnsi="Arial" w:cs="Arial"/>
        </w:rPr>
        <w:t xml:space="preserve">                                        __________________</w:t>
      </w:r>
      <w:r w:rsidR="00CE471A">
        <w:rPr>
          <w:rFonts w:ascii="Arial" w:hAnsi="Arial" w:cs="Arial"/>
        </w:rPr>
        <w:t>_</w:t>
      </w:r>
      <w:r w:rsidR="009D34A2">
        <w:rPr>
          <w:rFonts w:ascii="Arial" w:hAnsi="Arial" w:cs="Arial"/>
        </w:rPr>
        <w:t>____</w:t>
      </w:r>
      <w:r w:rsidR="00C71882">
        <w:rPr>
          <w:rFonts w:ascii="Arial" w:hAnsi="Arial" w:cs="Arial"/>
        </w:rPr>
        <w:t>__</w:t>
      </w:r>
    </w:p>
    <w:p w14:paraId="30D24697" w14:textId="77777777" w:rsidR="00EB0FC7" w:rsidRDefault="00EB0FC7" w:rsidP="00406E03">
      <w:pPr>
        <w:rPr>
          <w:rFonts w:ascii="Arial" w:hAnsi="Arial" w:cs="Arial"/>
        </w:rPr>
      </w:pPr>
    </w:p>
    <w:p w14:paraId="0E0CF091" w14:textId="77777777" w:rsidR="001B7DC6" w:rsidRDefault="001B7DC6" w:rsidP="00406E03">
      <w:pPr>
        <w:rPr>
          <w:rFonts w:ascii="Arial" w:hAnsi="Arial" w:cs="Arial"/>
        </w:rPr>
      </w:pPr>
    </w:p>
    <w:p w14:paraId="2F099FC3" w14:textId="77777777" w:rsidR="00C10CAC" w:rsidRDefault="00C10CAC" w:rsidP="00406E03">
      <w:pPr>
        <w:rPr>
          <w:rFonts w:ascii="Arial" w:hAnsi="Arial" w:cs="Arial"/>
        </w:rPr>
      </w:pPr>
    </w:p>
    <w:p w14:paraId="1F42B709" w14:textId="77777777" w:rsidR="00C10CAC" w:rsidRDefault="00C10CAC" w:rsidP="00406E03">
      <w:pPr>
        <w:rPr>
          <w:rFonts w:ascii="Arial" w:hAnsi="Arial" w:cs="Arial"/>
        </w:rPr>
      </w:pPr>
    </w:p>
    <w:p w14:paraId="5D749AC7" w14:textId="77777777" w:rsidR="00C10CAC" w:rsidRDefault="00C10CAC" w:rsidP="00406E03">
      <w:pPr>
        <w:rPr>
          <w:rFonts w:ascii="Arial" w:hAnsi="Arial" w:cs="Arial"/>
        </w:rPr>
      </w:pPr>
    </w:p>
    <w:p w14:paraId="5D629B35" w14:textId="77777777" w:rsidR="00C10CAC" w:rsidRDefault="00C10CAC" w:rsidP="00406E03">
      <w:pPr>
        <w:rPr>
          <w:rFonts w:ascii="Arial" w:hAnsi="Arial" w:cs="Arial"/>
        </w:rPr>
      </w:pPr>
    </w:p>
    <w:p w14:paraId="2AE93512" w14:textId="77777777" w:rsidR="00C10CAC" w:rsidRDefault="00C10CAC" w:rsidP="00406E03">
      <w:pPr>
        <w:rPr>
          <w:rFonts w:ascii="Arial" w:hAnsi="Arial" w:cs="Arial"/>
        </w:rPr>
      </w:pPr>
    </w:p>
    <w:p w14:paraId="4FA5ADD5" w14:textId="77777777" w:rsidR="00C10CAC" w:rsidRDefault="00C10CAC" w:rsidP="00406E03">
      <w:pPr>
        <w:rPr>
          <w:rFonts w:ascii="Arial" w:hAnsi="Arial" w:cs="Arial"/>
        </w:rPr>
      </w:pPr>
    </w:p>
    <w:p w14:paraId="220AAA5C" w14:textId="77777777" w:rsidR="00C10CAC" w:rsidRDefault="00C10CAC" w:rsidP="00406E03">
      <w:pPr>
        <w:rPr>
          <w:rFonts w:ascii="Arial" w:hAnsi="Arial" w:cs="Arial"/>
        </w:rPr>
      </w:pPr>
    </w:p>
    <w:p w14:paraId="0E364711" w14:textId="77777777" w:rsidR="00C10CAC" w:rsidRDefault="00C10CAC" w:rsidP="00406E03">
      <w:pPr>
        <w:rPr>
          <w:rFonts w:ascii="Arial" w:hAnsi="Arial" w:cs="Arial"/>
        </w:rPr>
      </w:pPr>
    </w:p>
    <w:p w14:paraId="53512121" w14:textId="77777777" w:rsidR="00C10CAC" w:rsidRDefault="00C10CAC" w:rsidP="00406E03">
      <w:pPr>
        <w:rPr>
          <w:rFonts w:ascii="Arial" w:hAnsi="Arial" w:cs="Arial"/>
        </w:rPr>
      </w:pPr>
    </w:p>
    <w:p w14:paraId="6A70D38A" w14:textId="77777777" w:rsidR="00C10CAC" w:rsidRDefault="00C10CAC" w:rsidP="00406E03">
      <w:pPr>
        <w:rPr>
          <w:rFonts w:ascii="Arial" w:hAnsi="Arial" w:cs="Arial"/>
        </w:rPr>
      </w:pPr>
    </w:p>
    <w:p w14:paraId="05704C33" w14:textId="77777777" w:rsidR="00C10CAC" w:rsidRDefault="00C10CAC" w:rsidP="00406E03">
      <w:pPr>
        <w:rPr>
          <w:rFonts w:ascii="Arial" w:hAnsi="Arial" w:cs="Arial"/>
        </w:rPr>
      </w:pPr>
    </w:p>
    <w:p w14:paraId="16C5FC48" w14:textId="77777777" w:rsidR="008C2BFF" w:rsidRDefault="008C2BFF" w:rsidP="00406E03">
      <w:pPr>
        <w:rPr>
          <w:rFonts w:ascii="Arial" w:hAnsi="Arial" w:cs="Arial"/>
        </w:rPr>
      </w:pPr>
    </w:p>
    <w:p w14:paraId="446C0F07" w14:textId="77777777" w:rsidR="008C2BFF" w:rsidRDefault="008C2BFF" w:rsidP="00406E03">
      <w:pPr>
        <w:rPr>
          <w:rFonts w:ascii="Arial" w:hAnsi="Arial" w:cs="Arial"/>
        </w:rPr>
      </w:pPr>
    </w:p>
    <w:p w14:paraId="09CC8A5E" w14:textId="77777777" w:rsidR="008C2BFF" w:rsidRDefault="008C2BFF" w:rsidP="00406E03">
      <w:pPr>
        <w:rPr>
          <w:rFonts w:ascii="Arial" w:hAnsi="Arial" w:cs="Arial"/>
        </w:rPr>
      </w:pPr>
    </w:p>
    <w:p w14:paraId="4027E5B1" w14:textId="77777777" w:rsidR="00C10CAC" w:rsidRDefault="00C10CAC" w:rsidP="00406E03">
      <w:pPr>
        <w:rPr>
          <w:rFonts w:ascii="Arial" w:hAnsi="Arial" w:cs="Arial"/>
        </w:rPr>
      </w:pPr>
    </w:p>
    <w:p w14:paraId="55A394BC" w14:textId="77777777" w:rsidR="00C10CAC" w:rsidRDefault="00C10CAC" w:rsidP="00406E03">
      <w:pPr>
        <w:rPr>
          <w:rFonts w:ascii="Arial" w:hAnsi="Arial" w:cs="Arial"/>
        </w:rPr>
      </w:pPr>
    </w:p>
    <w:p w14:paraId="5A1C47A7" w14:textId="1DFFF901" w:rsidR="00EB0FC7" w:rsidRPr="00280756" w:rsidRDefault="00280756" w:rsidP="00280756">
      <w:pPr>
        <w:rPr>
          <w:rFonts w:ascii="Arial" w:hAnsi="Arial" w:cs="Arial"/>
        </w:rPr>
      </w:pPr>
      <w:r w:rsidRPr="00280756">
        <w:rPr>
          <w:rFonts w:ascii="Arial" w:hAnsi="Arial" w:cs="Arial"/>
        </w:rPr>
        <w:t>CO</w:t>
      </w:r>
      <w:r w:rsidR="00EB0FC7" w:rsidRPr="00280756">
        <w:rPr>
          <w:rFonts w:ascii="Arial" w:hAnsi="Arial" w:cs="Arial"/>
        </w:rPr>
        <w:t>PYRIGHT NOTICE</w:t>
      </w:r>
    </w:p>
    <w:p w14:paraId="20D51C77" w14:textId="77777777" w:rsidR="006F664E" w:rsidRPr="006F664E" w:rsidRDefault="006F664E" w:rsidP="006F664E">
      <w:pPr>
        <w:rPr>
          <w:rFonts w:ascii="Arial" w:hAnsi="Arial" w:cs="Arial"/>
        </w:rPr>
      </w:pPr>
      <w:r w:rsidRPr="006F664E">
        <w:rPr>
          <w:rFonts w:ascii="Arial" w:hAnsi="Arial" w:cs="Arial"/>
        </w:rPr>
        <w:t xml:space="preserve">This work by EGI.eu is licensed under a Creative Commons Attribution 3.0 </w:t>
      </w:r>
      <w:proofErr w:type="spellStart"/>
      <w:r w:rsidRPr="006F664E">
        <w:rPr>
          <w:rFonts w:ascii="Arial" w:hAnsi="Arial" w:cs="Arial"/>
        </w:rPr>
        <w:t>Unported</w:t>
      </w:r>
      <w:proofErr w:type="spellEnd"/>
      <w:r w:rsidRPr="006F664E">
        <w:rPr>
          <w:rFonts w:ascii="Arial" w:hAnsi="Arial" w:cs="Arial"/>
        </w:rPr>
        <w:t xml:space="preserve"> License (see a copy of the license at http://creativecommons.org/licenses/by/3.0). This license lets you remix, tweak, and build upon this work, and although your new works must acknowledge EGI.eu, you do not have to license your derivative works on the same terms. Reproductions or derivative works must be attributed by attaching the following reference to the copied elements: “Based on work by EGI.eu used with permission under a CC-BY 3.0 license (source work URL: specify if known)”.</w:t>
      </w:r>
    </w:p>
    <w:p w14:paraId="0116CC3E" w14:textId="30FACE9D" w:rsidR="001C1D3A" w:rsidRPr="00A37057" w:rsidRDefault="001C1D3A" w:rsidP="006F664E">
      <w:pPr>
        <w:rPr>
          <w:rFonts w:ascii="Arial" w:hAnsi="Arial" w:cs="Arial"/>
        </w:rPr>
      </w:pPr>
    </w:p>
    <w:sectPr w:rsidR="001C1D3A" w:rsidRPr="00A37057">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E1495" w14:textId="77777777" w:rsidR="00D11A75" w:rsidRDefault="00D11A75" w:rsidP="00D360F3">
      <w:pPr>
        <w:spacing w:after="0" w:line="240" w:lineRule="auto"/>
      </w:pPr>
      <w:r>
        <w:separator/>
      </w:r>
    </w:p>
  </w:endnote>
  <w:endnote w:type="continuationSeparator" w:id="0">
    <w:p w14:paraId="4234AD9B" w14:textId="77777777" w:rsidR="00D11A75" w:rsidRDefault="00D11A75"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B183ADD" w14:textId="77777777" w:rsidR="00D11A75" w:rsidRPr="00B84C1F" w:rsidRDefault="00D11A75">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A47D1A" w:rsidRPr="00A47D1A">
          <w:rPr>
            <w:rFonts w:cs="Arial"/>
            <w:noProof/>
            <w:sz w:val="20"/>
            <w:szCs w:val="20"/>
          </w:rPr>
          <w:t>7</w:t>
        </w:r>
        <w:r w:rsidRPr="00B84C1F">
          <w:rPr>
            <w:rFonts w:ascii="Arial" w:hAnsi="Arial" w:cs="Arial"/>
            <w:noProof/>
            <w:sz w:val="20"/>
            <w:szCs w:val="20"/>
          </w:rPr>
          <w:fldChar w:fldCharType="end"/>
        </w:r>
      </w:p>
    </w:sdtContent>
  </w:sdt>
  <w:p w14:paraId="2B96FC30" w14:textId="77777777" w:rsidR="00D11A75" w:rsidRDefault="00D11A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97166" w14:textId="77777777" w:rsidR="00D11A75" w:rsidRDefault="00D11A75" w:rsidP="00D360F3">
      <w:pPr>
        <w:spacing w:after="0" w:line="240" w:lineRule="auto"/>
      </w:pPr>
      <w:r>
        <w:separator/>
      </w:r>
    </w:p>
  </w:footnote>
  <w:footnote w:type="continuationSeparator" w:id="0">
    <w:p w14:paraId="25FEB222" w14:textId="77777777" w:rsidR="00D11A75" w:rsidRDefault="00D11A75" w:rsidP="00D360F3">
      <w:pPr>
        <w:spacing w:after="0" w:line="240" w:lineRule="auto"/>
      </w:pPr>
      <w:r>
        <w:continuationSeparator/>
      </w:r>
    </w:p>
  </w:footnote>
  <w:footnote w:id="1">
    <w:p w14:paraId="3FE66379" w14:textId="77777777" w:rsidR="00D11A75" w:rsidRDefault="00D11A75" w:rsidP="00C67ED2">
      <w:pPr>
        <w:pStyle w:val="FootnoteText"/>
      </w:pPr>
      <w:r>
        <w:rPr>
          <w:rStyle w:val="FootnoteReference"/>
        </w:rPr>
        <w:footnoteRef/>
      </w:r>
      <w:r>
        <w:t xml:space="preserve"> Member, Observer, in Attendance</w:t>
      </w:r>
    </w:p>
  </w:footnote>
  <w:footnote w:id="2">
    <w:p w14:paraId="2E269075" w14:textId="77777777" w:rsidR="00D11A75" w:rsidRDefault="00D11A75" w:rsidP="00D11A75">
      <w:pPr>
        <w:pStyle w:val="FootnoteText"/>
      </w:pPr>
      <w:r>
        <w:rPr>
          <w:rStyle w:val="FootnoteReference"/>
        </w:rPr>
        <w:footnoteRef/>
      </w:r>
      <w:r>
        <w:t xml:space="preserve"> NEW, OPEN, CLOSED, REJECTED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D11A75" w14:paraId="1D8ED58A" w14:textId="77777777" w:rsidTr="009B3D32">
      <w:trPr>
        <w:trHeight w:val="1131"/>
      </w:trPr>
      <w:tc>
        <w:tcPr>
          <w:tcW w:w="2559" w:type="dxa"/>
        </w:tcPr>
        <w:p w14:paraId="150279C8" w14:textId="77777777" w:rsidR="00D11A75" w:rsidRDefault="00D11A75" w:rsidP="009B3D32">
          <w:pPr>
            <w:pStyle w:val="Header"/>
            <w:tabs>
              <w:tab w:val="right" w:pos="9072"/>
            </w:tabs>
          </w:pPr>
          <w:r>
            <w:rPr>
              <w:noProof/>
            </w:rPr>
            <w:drawing>
              <wp:inline distT="0" distB="0" distL="0" distR="0" wp14:anchorId="22F72883" wp14:editId="7ED9F83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1B06BBE2" w14:textId="77777777" w:rsidR="00D11A75" w:rsidRDefault="00D11A75" w:rsidP="009B3D32">
          <w:pPr>
            <w:pStyle w:val="Header"/>
            <w:tabs>
              <w:tab w:val="right" w:pos="9072"/>
            </w:tabs>
            <w:jc w:val="center"/>
          </w:pPr>
          <w:r>
            <w:rPr>
              <w:noProof/>
            </w:rPr>
            <w:drawing>
              <wp:inline distT="0" distB="0" distL="0" distR="0" wp14:anchorId="0B133809" wp14:editId="7B5968A3">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6C6298DA" w14:textId="77777777" w:rsidR="00D11A75" w:rsidRDefault="00D11A75" w:rsidP="009B3D32">
          <w:pPr>
            <w:pStyle w:val="Header"/>
            <w:tabs>
              <w:tab w:val="right" w:pos="9072"/>
            </w:tabs>
            <w:jc w:val="right"/>
          </w:pPr>
          <w:r>
            <w:rPr>
              <w:noProof/>
            </w:rPr>
            <w:drawing>
              <wp:inline distT="0" distB="0" distL="0" distR="0" wp14:anchorId="30103E56" wp14:editId="7A342C4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BA2C9CE" w14:textId="77777777" w:rsidR="00D11A75" w:rsidRDefault="00D11A75">
    <w:pPr>
      <w:pStyle w:val="Header"/>
    </w:pPr>
    <w:r w:rsidRPr="00D360F3">
      <w:tab/>
      <w:t xml:space="preserve"> </w:t>
    </w:r>
    <w:r w:rsidRPr="00D360F3">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0D84"/>
    <w:multiLevelType w:val="hybridMultilevel"/>
    <w:tmpl w:val="D364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B175E"/>
    <w:multiLevelType w:val="hybridMultilevel"/>
    <w:tmpl w:val="3108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C1BF4"/>
    <w:multiLevelType w:val="hybridMultilevel"/>
    <w:tmpl w:val="27EA87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36282"/>
    <w:multiLevelType w:val="hybridMultilevel"/>
    <w:tmpl w:val="35C4E8F6"/>
    <w:lvl w:ilvl="0" w:tplc="04090001">
      <w:start w:val="1"/>
      <w:numFmt w:val="bullet"/>
      <w:lvlText w:val=""/>
      <w:lvlJc w:val="left"/>
      <w:pPr>
        <w:ind w:left="720" w:hanging="360"/>
      </w:pPr>
      <w:rPr>
        <w:rFonts w:ascii="Symbol" w:hAnsi="Symbol" w:hint="default"/>
      </w:rPr>
    </w:lvl>
    <w:lvl w:ilvl="1" w:tplc="E2FC914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D6050"/>
    <w:multiLevelType w:val="hybridMultilevel"/>
    <w:tmpl w:val="3AEE4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B7219"/>
    <w:multiLevelType w:val="hybridMultilevel"/>
    <w:tmpl w:val="DB9E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6068D"/>
    <w:multiLevelType w:val="hybridMultilevel"/>
    <w:tmpl w:val="FD8C8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00E4F"/>
    <w:multiLevelType w:val="hybridMultilevel"/>
    <w:tmpl w:val="2772B3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8A779F2"/>
    <w:multiLevelType w:val="multilevel"/>
    <w:tmpl w:val="D8FA821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Courier"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D65120"/>
    <w:multiLevelType w:val="hybridMultilevel"/>
    <w:tmpl w:val="F0F6B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3341DC"/>
    <w:multiLevelType w:val="hybridMultilevel"/>
    <w:tmpl w:val="609E2A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DB3A89"/>
    <w:multiLevelType w:val="hybridMultilevel"/>
    <w:tmpl w:val="C41CDB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FA556DC"/>
    <w:multiLevelType w:val="hybridMultilevel"/>
    <w:tmpl w:val="636C8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17BA891C">
      <w:start w:val="20"/>
      <w:numFmt w:val="bullet"/>
      <w:lvlText w:val="-"/>
      <w:lvlJc w:val="left"/>
      <w:pPr>
        <w:ind w:left="3600" w:hanging="360"/>
      </w:pPr>
      <w:rPr>
        <w:rFonts w:ascii="Calibri" w:eastAsiaTheme="minorHAnsi" w:hAnsi="Calibri" w:cstheme="minorBid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E52EF3"/>
    <w:multiLevelType w:val="hybridMultilevel"/>
    <w:tmpl w:val="AAA4E03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0"/>
  </w:num>
  <w:num w:numId="6">
    <w:abstractNumId w:val="6"/>
  </w:num>
  <w:num w:numId="7">
    <w:abstractNumId w:val="1"/>
  </w:num>
  <w:num w:numId="8">
    <w:abstractNumId w:val="7"/>
  </w:num>
  <w:num w:numId="9">
    <w:abstractNumId w:val="11"/>
  </w:num>
  <w:num w:numId="10">
    <w:abstractNumId w:val="0"/>
  </w:num>
  <w:num w:numId="11">
    <w:abstractNumId w:val="8"/>
  </w:num>
  <w:num w:numId="12">
    <w:abstractNumId w:val="12"/>
  </w:num>
  <w:num w:numId="13">
    <w:abstractNumId w:val="13"/>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0393"/>
    <w:rsid w:val="000018C3"/>
    <w:rsid w:val="00013458"/>
    <w:rsid w:val="000158E3"/>
    <w:rsid w:val="00020741"/>
    <w:rsid w:val="00021723"/>
    <w:rsid w:val="00023E97"/>
    <w:rsid w:val="00030325"/>
    <w:rsid w:val="00031C22"/>
    <w:rsid w:val="00040A5D"/>
    <w:rsid w:val="0004116D"/>
    <w:rsid w:val="00041FE8"/>
    <w:rsid w:val="00043D6A"/>
    <w:rsid w:val="00044BBD"/>
    <w:rsid w:val="000452D6"/>
    <w:rsid w:val="00053EFD"/>
    <w:rsid w:val="000552BB"/>
    <w:rsid w:val="00056618"/>
    <w:rsid w:val="00057EAE"/>
    <w:rsid w:val="00063915"/>
    <w:rsid w:val="00064086"/>
    <w:rsid w:val="00066B4C"/>
    <w:rsid w:val="00067A84"/>
    <w:rsid w:val="0007034F"/>
    <w:rsid w:val="000727F1"/>
    <w:rsid w:val="000743AC"/>
    <w:rsid w:val="00075228"/>
    <w:rsid w:val="000754AF"/>
    <w:rsid w:val="00075F12"/>
    <w:rsid w:val="00076A9B"/>
    <w:rsid w:val="00076EB1"/>
    <w:rsid w:val="00077527"/>
    <w:rsid w:val="00077908"/>
    <w:rsid w:val="00077E62"/>
    <w:rsid w:val="00080F68"/>
    <w:rsid w:val="000829D2"/>
    <w:rsid w:val="00083461"/>
    <w:rsid w:val="00091070"/>
    <w:rsid w:val="00091343"/>
    <w:rsid w:val="000948E9"/>
    <w:rsid w:val="00094B7C"/>
    <w:rsid w:val="00097518"/>
    <w:rsid w:val="00097B71"/>
    <w:rsid w:val="000A0129"/>
    <w:rsid w:val="000A59BC"/>
    <w:rsid w:val="000A5EE4"/>
    <w:rsid w:val="000A60B9"/>
    <w:rsid w:val="000A6B91"/>
    <w:rsid w:val="000B0D4F"/>
    <w:rsid w:val="000B2159"/>
    <w:rsid w:val="000B2262"/>
    <w:rsid w:val="000B29FB"/>
    <w:rsid w:val="000B43F1"/>
    <w:rsid w:val="000C0338"/>
    <w:rsid w:val="000C0ADF"/>
    <w:rsid w:val="000C0C79"/>
    <w:rsid w:val="000C1C86"/>
    <w:rsid w:val="000C4031"/>
    <w:rsid w:val="000C62D9"/>
    <w:rsid w:val="000C66A6"/>
    <w:rsid w:val="000C6850"/>
    <w:rsid w:val="000C7B10"/>
    <w:rsid w:val="000D0583"/>
    <w:rsid w:val="000D41CC"/>
    <w:rsid w:val="000D5110"/>
    <w:rsid w:val="000E0EEA"/>
    <w:rsid w:val="000E12F1"/>
    <w:rsid w:val="000E548C"/>
    <w:rsid w:val="000E662D"/>
    <w:rsid w:val="000F2FCC"/>
    <w:rsid w:val="000F3BDE"/>
    <w:rsid w:val="00103F7D"/>
    <w:rsid w:val="00106EA0"/>
    <w:rsid w:val="00107302"/>
    <w:rsid w:val="0010744F"/>
    <w:rsid w:val="001121C1"/>
    <w:rsid w:val="0011558E"/>
    <w:rsid w:val="001214C0"/>
    <w:rsid w:val="00121807"/>
    <w:rsid w:val="00122681"/>
    <w:rsid w:val="00127E0B"/>
    <w:rsid w:val="00133214"/>
    <w:rsid w:val="001369CC"/>
    <w:rsid w:val="001378F9"/>
    <w:rsid w:val="00137E0B"/>
    <w:rsid w:val="00140967"/>
    <w:rsid w:val="00147969"/>
    <w:rsid w:val="0015004D"/>
    <w:rsid w:val="00150B07"/>
    <w:rsid w:val="001511EF"/>
    <w:rsid w:val="0015227F"/>
    <w:rsid w:val="00154441"/>
    <w:rsid w:val="00156AA0"/>
    <w:rsid w:val="00157705"/>
    <w:rsid w:val="001578FF"/>
    <w:rsid w:val="00161DC3"/>
    <w:rsid w:val="0016741A"/>
    <w:rsid w:val="00170221"/>
    <w:rsid w:val="00174CF8"/>
    <w:rsid w:val="00180DC1"/>
    <w:rsid w:val="00183D1A"/>
    <w:rsid w:val="00183E62"/>
    <w:rsid w:val="001846D6"/>
    <w:rsid w:val="00195369"/>
    <w:rsid w:val="00197B05"/>
    <w:rsid w:val="001A2E14"/>
    <w:rsid w:val="001A419C"/>
    <w:rsid w:val="001A44DC"/>
    <w:rsid w:val="001A5163"/>
    <w:rsid w:val="001B014A"/>
    <w:rsid w:val="001B22EE"/>
    <w:rsid w:val="001B77E9"/>
    <w:rsid w:val="001B7DC6"/>
    <w:rsid w:val="001C1D3A"/>
    <w:rsid w:val="001C2EDA"/>
    <w:rsid w:val="001C70A3"/>
    <w:rsid w:val="001D4338"/>
    <w:rsid w:val="001D7CD9"/>
    <w:rsid w:val="001E32D8"/>
    <w:rsid w:val="001E7184"/>
    <w:rsid w:val="001F0058"/>
    <w:rsid w:val="001F2DFE"/>
    <w:rsid w:val="00200883"/>
    <w:rsid w:val="00201EE5"/>
    <w:rsid w:val="0020471B"/>
    <w:rsid w:val="00204DE8"/>
    <w:rsid w:val="002055FE"/>
    <w:rsid w:val="00207B25"/>
    <w:rsid w:val="00211BB4"/>
    <w:rsid w:val="0021496A"/>
    <w:rsid w:val="00220345"/>
    <w:rsid w:val="00220E33"/>
    <w:rsid w:val="00221338"/>
    <w:rsid w:val="00222EB2"/>
    <w:rsid w:val="002302A5"/>
    <w:rsid w:val="00233F74"/>
    <w:rsid w:val="00234E1C"/>
    <w:rsid w:val="002353CA"/>
    <w:rsid w:val="00237CE8"/>
    <w:rsid w:val="00241958"/>
    <w:rsid w:val="00241A31"/>
    <w:rsid w:val="00245992"/>
    <w:rsid w:val="00247CAB"/>
    <w:rsid w:val="00250BCB"/>
    <w:rsid w:val="00251F8F"/>
    <w:rsid w:val="00254889"/>
    <w:rsid w:val="00256053"/>
    <w:rsid w:val="00260201"/>
    <w:rsid w:val="00260467"/>
    <w:rsid w:val="00260DEF"/>
    <w:rsid w:val="002616B3"/>
    <w:rsid w:val="00267B39"/>
    <w:rsid w:val="00271B21"/>
    <w:rsid w:val="0027396E"/>
    <w:rsid w:val="0027461E"/>
    <w:rsid w:val="00274CDA"/>
    <w:rsid w:val="00280756"/>
    <w:rsid w:val="00281228"/>
    <w:rsid w:val="00281C05"/>
    <w:rsid w:val="00284268"/>
    <w:rsid w:val="00293479"/>
    <w:rsid w:val="00293F21"/>
    <w:rsid w:val="00296AA1"/>
    <w:rsid w:val="002A3975"/>
    <w:rsid w:val="002A5C5D"/>
    <w:rsid w:val="002A7F50"/>
    <w:rsid w:val="002B0311"/>
    <w:rsid w:val="002B3761"/>
    <w:rsid w:val="002B39EA"/>
    <w:rsid w:val="002B5E35"/>
    <w:rsid w:val="002B66D0"/>
    <w:rsid w:val="002C280F"/>
    <w:rsid w:val="002C5D82"/>
    <w:rsid w:val="002D000C"/>
    <w:rsid w:val="002D0C9D"/>
    <w:rsid w:val="002D2434"/>
    <w:rsid w:val="002D397E"/>
    <w:rsid w:val="002D5ADA"/>
    <w:rsid w:val="002E2532"/>
    <w:rsid w:val="002E3337"/>
    <w:rsid w:val="002E4129"/>
    <w:rsid w:val="002E5084"/>
    <w:rsid w:val="002F09C8"/>
    <w:rsid w:val="002F2771"/>
    <w:rsid w:val="002F3A39"/>
    <w:rsid w:val="002F489A"/>
    <w:rsid w:val="002F4B75"/>
    <w:rsid w:val="002F75EF"/>
    <w:rsid w:val="002F7B2B"/>
    <w:rsid w:val="0030069E"/>
    <w:rsid w:val="0030488F"/>
    <w:rsid w:val="00305DD0"/>
    <w:rsid w:val="00313121"/>
    <w:rsid w:val="00314346"/>
    <w:rsid w:val="00320C8B"/>
    <w:rsid w:val="00324BFB"/>
    <w:rsid w:val="00326CBF"/>
    <w:rsid w:val="00327B64"/>
    <w:rsid w:val="003319AF"/>
    <w:rsid w:val="00332901"/>
    <w:rsid w:val="00334B11"/>
    <w:rsid w:val="00337DC4"/>
    <w:rsid w:val="0034181C"/>
    <w:rsid w:val="003508BE"/>
    <w:rsid w:val="00351985"/>
    <w:rsid w:val="00353BD4"/>
    <w:rsid w:val="003557B7"/>
    <w:rsid w:val="003569B4"/>
    <w:rsid w:val="003646BD"/>
    <w:rsid w:val="00364F7F"/>
    <w:rsid w:val="00367B27"/>
    <w:rsid w:val="00370835"/>
    <w:rsid w:val="00372B31"/>
    <w:rsid w:val="00372E9A"/>
    <w:rsid w:val="003767BB"/>
    <w:rsid w:val="00377C23"/>
    <w:rsid w:val="00384FBE"/>
    <w:rsid w:val="00391952"/>
    <w:rsid w:val="003933E9"/>
    <w:rsid w:val="00395186"/>
    <w:rsid w:val="003A0108"/>
    <w:rsid w:val="003A0318"/>
    <w:rsid w:val="003A0A21"/>
    <w:rsid w:val="003A0AB6"/>
    <w:rsid w:val="003A3098"/>
    <w:rsid w:val="003A5C7B"/>
    <w:rsid w:val="003A64AF"/>
    <w:rsid w:val="003A7BB0"/>
    <w:rsid w:val="003B24EC"/>
    <w:rsid w:val="003B265C"/>
    <w:rsid w:val="003B2E08"/>
    <w:rsid w:val="003B30D5"/>
    <w:rsid w:val="003C4393"/>
    <w:rsid w:val="003C7A22"/>
    <w:rsid w:val="003D03E3"/>
    <w:rsid w:val="003D4E9E"/>
    <w:rsid w:val="003D51C7"/>
    <w:rsid w:val="003D7462"/>
    <w:rsid w:val="003E2317"/>
    <w:rsid w:val="003E541B"/>
    <w:rsid w:val="003E6A43"/>
    <w:rsid w:val="003E7095"/>
    <w:rsid w:val="003F1CF9"/>
    <w:rsid w:val="003F355D"/>
    <w:rsid w:val="003F5476"/>
    <w:rsid w:val="003F5A7D"/>
    <w:rsid w:val="003F79DB"/>
    <w:rsid w:val="00400F39"/>
    <w:rsid w:val="00401B69"/>
    <w:rsid w:val="00402081"/>
    <w:rsid w:val="00403BF4"/>
    <w:rsid w:val="00406E03"/>
    <w:rsid w:val="00407C20"/>
    <w:rsid w:val="00410F8C"/>
    <w:rsid w:val="00413010"/>
    <w:rsid w:val="0041372D"/>
    <w:rsid w:val="00413870"/>
    <w:rsid w:val="004175AD"/>
    <w:rsid w:val="00421A48"/>
    <w:rsid w:val="0042546A"/>
    <w:rsid w:val="00425E3E"/>
    <w:rsid w:val="004274A0"/>
    <w:rsid w:val="004300FC"/>
    <w:rsid w:val="004318C6"/>
    <w:rsid w:val="00435C93"/>
    <w:rsid w:val="00443C23"/>
    <w:rsid w:val="004464E9"/>
    <w:rsid w:val="0045106B"/>
    <w:rsid w:val="00455D14"/>
    <w:rsid w:val="00456974"/>
    <w:rsid w:val="00456B49"/>
    <w:rsid w:val="00457599"/>
    <w:rsid w:val="00460F61"/>
    <w:rsid w:val="00462EF5"/>
    <w:rsid w:val="004637F7"/>
    <w:rsid w:val="00463C99"/>
    <w:rsid w:val="00466442"/>
    <w:rsid w:val="00466FE2"/>
    <w:rsid w:val="004671AD"/>
    <w:rsid w:val="00471EDC"/>
    <w:rsid w:val="00474B3D"/>
    <w:rsid w:val="004815F9"/>
    <w:rsid w:val="004A01E8"/>
    <w:rsid w:val="004A0E65"/>
    <w:rsid w:val="004A47F0"/>
    <w:rsid w:val="004A6316"/>
    <w:rsid w:val="004B0502"/>
    <w:rsid w:val="004B1002"/>
    <w:rsid w:val="004B37C8"/>
    <w:rsid w:val="004B4BCE"/>
    <w:rsid w:val="004B7EF7"/>
    <w:rsid w:val="004C4B06"/>
    <w:rsid w:val="004D18AB"/>
    <w:rsid w:val="004D3E4B"/>
    <w:rsid w:val="004D5502"/>
    <w:rsid w:val="004E1BB1"/>
    <w:rsid w:val="004E2D50"/>
    <w:rsid w:val="004E52A1"/>
    <w:rsid w:val="004E6CF6"/>
    <w:rsid w:val="004F26E2"/>
    <w:rsid w:val="004F738A"/>
    <w:rsid w:val="0050047E"/>
    <w:rsid w:val="00501B04"/>
    <w:rsid w:val="00502165"/>
    <w:rsid w:val="00503760"/>
    <w:rsid w:val="00503BC8"/>
    <w:rsid w:val="00512170"/>
    <w:rsid w:val="00512C90"/>
    <w:rsid w:val="00516EB6"/>
    <w:rsid w:val="0051797C"/>
    <w:rsid w:val="005205C4"/>
    <w:rsid w:val="00521712"/>
    <w:rsid w:val="00523834"/>
    <w:rsid w:val="0053158D"/>
    <w:rsid w:val="00532DEF"/>
    <w:rsid w:val="00534BA7"/>
    <w:rsid w:val="00536958"/>
    <w:rsid w:val="00541AE5"/>
    <w:rsid w:val="0054588E"/>
    <w:rsid w:val="00546A64"/>
    <w:rsid w:val="00547CAA"/>
    <w:rsid w:val="00555436"/>
    <w:rsid w:val="00555EBB"/>
    <w:rsid w:val="00560FCF"/>
    <w:rsid w:val="0056640A"/>
    <w:rsid w:val="005677C1"/>
    <w:rsid w:val="00572ED1"/>
    <w:rsid w:val="005754CC"/>
    <w:rsid w:val="00575B1D"/>
    <w:rsid w:val="00576030"/>
    <w:rsid w:val="00577106"/>
    <w:rsid w:val="00580C99"/>
    <w:rsid w:val="00586E63"/>
    <w:rsid w:val="00595CC2"/>
    <w:rsid w:val="00597F2D"/>
    <w:rsid w:val="005A187E"/>
    <w:rsid w:val="005A18D0"/>
    <w:rsid w:val="005A1BFF"/>
    <w:rsid w:val="005A5CCE"/>
    <w:rsid w:val="005A6876"/>
    <w:rsid w:val="005B271F"/>
    <w:rsid w:val="005B3A3F"/>
    <w:rsid w:val="005B3ABA"/>
    <w:rsid w:val="005B689B"/>
    <w:rsid w:val="005B7B2F"/>
    <w:rsid w:val="005C3B22"/>
    <w:rsid w:val="005C48C1"/>
    <w:rsid w:val="005C4FA9"/>
    <w:rsid w:val="005C580D"/>
    <w:rsid w:val="005C6240"/>
    <w:rsid w:val="005C6EA2"/>
    <w:rsid w:val="005D2A2E"/>
    <w:rsid w:val="005D2CF0"/>
    <w:rsid w:val="005D3FDC"/>
    <w:rsid w:val="005D47B9"/>
    <w:rsid w:val="005D4C99"/>
    <w:rsid w:val="005D647B"/>
    <w:rsid w:val="005D76CB"/>
    <w:rsid w:val="005D7B43"/>
    <w:rsid w:val="005E1852"/>
    <w:rsid w:val="005E2E16"/>
    <w:rsid w:val="005E4669"/>
    <w:rsid w:val="005E596B"/>
    <w:rsid w:val="005E6477"/>
    <w:rsid w:val="005E6EFC"/>
    <w:rsid w:val="005E753F"/>
    <w:rsid w:val="005F1298"/>
    <w:rsid w:val="005F2573"/>
    <w:rsid w:val="005F475C"/>
    <w:rsid w:val="005F62B3"/>
    <w:rsid w:val="00602C38"/>
    <w:rsid w:val="00605F53"/>
    <w:rsid w:val="00607379"/>
    <w:rsid w:val="006149D9"/>
    <w:rsid w:val="00615E55"/>
    <w:rsid w:val="00616018"/>
    <w:rsid w:val="00621B1C"/>
    <w:rsid w:val="006232CD"/>
    <w:rsid w:val="0062367D"/>
    <w:rsid w:val="00633835"/>
    <w:rsid w:val="0063449B"/>
    <w:rsid w:val="0064387E"/>
    <w:rsid w:val="00643BEF"/>
    <w:rsid w:val="00645778"/>
    <w:rsid w:val="006500FE"/>
    <w:rsid w:val="006506C8"/>
    <w:rsid w:val="00650C52"/>
    <w:rsid w:val="0065102E"/>
    <w:rsid w:val="00651086"/>
    <w:rsid w:val="00652F9E"/>
    <w:rsid w:val="00655C35"/>
    <w:rsid w:val="00655C78"/>
    <w:rsid w:val="00660CF8"/>
    <w:rsid w:val="006618CE"/>
    <w:rsid w:val="00662AB0"/>
    <w:rsid w:val="00665151"/>
    <w:rsid w:val="006660F3"/>
    <w:rsid w:val="00667057"/>
    <w:rsid w:val="0066785A"/>
    <w:rsid w:val="00670951"/>
    <w:rsid w:val="00673A61"/>
    <w:rsid w:val="006755EA"/>
    <w:rsid w:val="00676326"/>
    <w:rsid w:val="00677BF5"/>
    <w:rsid w:val="00677E5D"/>
    <w:rsid w:val="00680B32"/>
    <w:rsid w:val="006813ED"/>
    <w:rsid w:val="00684F27"/>
    <w:rsid w:val="006850C5"/>
    <w:rsid w:val="00690818"/>
    <w:rsid w:val="00691C34"/>
    <w:rsid w:val="006A6C99"/>
    <w:rsid w:val="006A7E31"/>
    <w:rsid w:val="006B08FE"/>
    <w:rsid w:val="006B1D9B"/>
    <w:rsid w:val="006B280C"/>
    <w:rsid w:val="006B5075"/>
    <w:rsid w:val="006C2BB2"/>
    <w:rsid w:val="006C3C49"/>
    <w:rsid w:val="006C4F8C"/>
    <w:rsid w:val="006C7008"/>
    <w:rsid w:val="006D120E"/>
    <w:rsid w:val="006D1CB2"/>
    <w:rsid w:val="006D6571"/>
    <w:rsid w:val="006E29F6"/>
    <w:rsid w:val="006E42A7"/>
    <w:rsid w:val="006E6A1E"/>
    <w:rsid w:val="006E6A8F"/>
    <w:rsid w:val="006E7C21"/>
    <w:rsid w:val="006F0BF5"/>
    <w:rsid w:val="006F3B51"/>
    <w:rsid w:val="006F664E"/>
    <w:rsid w:val="00703C8A"/>
    <w:rsid w:val="0070455D"/>
    <w:rsid w:val="00704B62"/>
    <w:rsid w:val="007055DF"/>
    <w:rsid w:val="00705D73"/>
    <w:rsid w:val="0070640B"/>
    <w:rsid w:val="00720016"/>
    <w:rsid w:val="00720C6A"/>
    <w:rsid w:val="007212E9"/>
    <w:rsid w:val="00723AB0"/>
    <w:rsid w:val="00723DFA"/>
    <w:rsid w:val="00724E4E"/>
    <w:rsid w:val="00735EC4"/>
    <w:rsid w:val="0074058B"/>
    <w:rsid w:val="00742C2D"/>
    <w:rsid w:val="00743218"/>
    <w:rsid w:val="00743C98"/>
    <w:rsid w:val="00744A4A"/>
    <w:rsid w:val="00746CB3"/>
    <w:rsid w:val="00752228"/>
    <w:rsid w:val="00752C41"/>
    <w:rsid w:val="00753BC7"/>
    <w:rsid w:val="00756F7E"/>
    <w:rsid w:val="00757467"/>
    <w:rsid w:val="007711C8"/>
    <w:rsid w:val="00773F30"/>
    <w:rsid w:val="007740A3"/>
    <w:rsid w:val="007752A8"/>
    <w:rsid w:val="00775423"/>
    <w:rsid w:val="00776CF0"/>
    <w:rsid w:val="00776E05"/>
    <w:rsid w:val="00776E21"/>
    <w:rsid w:val="00777078"/>
    <w:rsid w:val="007776A6"/>
    <w:rsid w:val="00777CF5"/>
    <w:rsid w:val="00781E57"/>
    <w:rsid w:val="00782132"/>
    <w:rsid w:val="00784422"/>
    <w:rsid w:val="00787E69"/>
    <w:rsid w:val="00790EAA"/>
    <w:rsid w:val="00793A2B"/>
    <w:rsid w:val="007976E1"/>
    <w:rsid w:val="007A26B8"/>
    <w:rsid w:val="007A3873"/>
    <w:rsid w:val="007A5327"/>
    <w:rsid w:val="007A661D"/>
    <w:rsid w:val="007A7CEC"/>
    <w:rsid w:val="007B0D2A"/>
    <w:rsid w:val="007B6B53"/>
    <w:rsid w:val="007C395C"/>
    <w:rsid w:val="007C444C"/>
    <w:rsid w:val="007D0CDA"/>
    <w:rsid w:val="007D182E"/>
    <w:rsid w:val="007D2075"/>
    <w:rsid w:val="007D236E"/>
    <w:rsid w:val="007D27EE"/>
    <w:rsid w:val="007E2DBF"/>
    <w:rsid w:val="007E39BA"/>
    <w:rsid w:val="007F0719"/>
    <w:rsid w:val="007F1C2C"/>
    <w:rsid w:val="007F2655"/>
    <w:rsid w:val="007F5872"/>
    <w:rsid w:val="007F6049"/>
    <w:rsid w:val="00806172"/>
    <w:rsid w:val="00807E55"/>
    <w:rsid w:val="0081378A"/>
    <w:rsid w:val="00813C84"/>
    <w:rsid w:val="00814755"/>
    <w:rsid w:val="0081629C"/>
    <w:rsid w:val="00821772"/>
    <w:rsid w:val="00826F18"/>
    <w:rsid w:val="00831AA1"/>
    <w:rsid w:val="00836B95"/>
    <w:rsid w:val="00847D0F"/>
    <w:rsid w:val="00853424"/>
    <w:rsid w:val="00856587"/>
    <w:rsid w:val="00861480"/>
    <w:rsid w:val="008711EB"/>
    <w:rsid w:val="00871E48"/>
    <w:rsid w:val="00873782"/>
    <w:rsid w:val="00873DEC"/>
    <w:rsid w:val="008742C6"/>
    <w:rsid w:val="00877753"/>
    <w:rsid w:val="008807EE"/>
    <w:rsid w:val="00880C84"/>
    <w:rsid w:val="00882E83"/>
    <w:rsid w:val="008837F1"/>
    <w:rsid w:val="008838D5"/>
    <w:rsid w:val="008858C2"/>
    <w:rsid w:val="00885E76"/>
    <w:rsid w:val="00892EDC"/>
    <w:rsid w:val="00894AB6"/>
    <w:rsid w:val="0089600F"/>
    <w:rsid w:val="008974E9"/>
    <w:rsid w:val="00897F68"/>
    <w:rsid w:val="00897FBE"/>
    <w:rsid w:val="008A2098"/>
    <w:rsid w:val="008A35F7"/>
    <w:rsid w:val="008B0DF6"/>
    <w:rsid w:val="008B3E40"/>
    <w:rsid w:val="008B53A7"/>
    <w:rsid w:val="008B5CE9"/>
    <w:rsid w:val="008C1999"/>
    <w:rsid w:val="008C261B"/>
    <w:rsid w:val="008C2BFF"/>
    <w:rsid w:val="008C4711"/>
    <w:rsid w:val="008C7F02"/>
    <w:rsid w:val="008D0528"/>
    <w:rsid w:val="008D18FA"/>
    <w:rsid w:val="008D30A5"/>
    <w:rsid w:val="008D3FF9"/>
    <w:rsid w:val="008D4591"/>
    <w:rsid w:val="008D45F0"/>
    <w:rsid w:val="008D4C4E"/>
    <w:rsid w:val="008F3736"/>
    <w:rsid w:val="00901570"/>
    <w:rsid w:val="0090199F"/>
    <w:rsid w:val="00903660"/>
    <w:rsid w:val="00903709"/>
    <w:rsid w:val="0090387E"/>
    <w:rsid w:val="009052B4"/>
    <w:rsid w:val="00912C12"/>
    <w:rsid w:val="009204DF"/>
    <w:rsid w:val="00920CD4"/>
    <w:rsid w:val="00921300"/>
    <w:rsid w:val="00922C9B"/>
    <w:rsid w:val="0092438C"/>
    <w:rsid w:val="00930FB6"/>
    <w:rsid w:val="0093116A"/>
    <w:rsid w:val="00935BF6"/>
    <w:rsid w:val="0093765F"/>
    <w:rsid w:val="00937FFD"/>
    <w:rsid w:val="00942854"/>
    <w:rsid w:val="0094390F"/>
    <w:rsid w:val="00945D89"/>
    <w:rsid w:val="00951B19"/>
    <w:rsid w:val="00954EEA"/>
    <w:rsid w:val="00957D6E"/>
    <w:rsid w:val="0096334B"/>
    <w:rsid w:val="009648BA"/>
    <w:rsid w:val="009652D2"/>
    <w:rsid w:val="00965533"/>
    <w:rsid w:val="00966E9B"/>
    <w:rsid w:val="00972921"/>
    <w:rsid w:val="0097373A"/>
    <w:rsid w:val="0097542B"/>
    <w:rsid w:val="00983DC3"/>
    <w:rsid w:val="009848F0"/>
    <w:rsid w:val="00984FE5"/>
    <w:rsid w:val="00985C30"/>
    <w:rsid w:val="00990F78"/>
    <w:rsid w:val="009917AB"/>
    <w:rsid w:val="00994EBA"/>
    <w:rsid w:val="00995A6E"/>
    <w:rsid w:val="009A4873"/>
    <w:rsid w:val="009A5DBB"/>
    <w:rsid w:val="009A6FAF"/>
    <w:rsid w:val="009A77BA"/>
    <w:rsid w:val="009A7FF3"/>
    <w:rsid w:val="009B3D32"/>
    <w:rsid w:val="009B3D6A"/>
    <w:rsid w:val="009C1430"/>
    <w:rsid w:val="009C2D69"/>
    <w:rsid w:val="009C3A68"/>
    <w:rsid w:val="009C78C9"/>
    <w:rsid w:val="009D023F"/>
    <w:rsid w:val="009D34A2"/>
    <w:rsid w:val="009D3581"/>
    <w:rsid w:val="009D631E"/>
    <w:rsid w:val="009D7E7B"/>
    <w:rsid w:val="009E07C5"/>
    <w:rsid w:val="009E084B"/>
    <w:rsid w:val="009E0C7D"/>
    <w:rsid w:val="009E5571"/>
    <w:rsid w:val="009E5787"/>
    <w:rsid w:val="009E63CF"/>
    <w:rsid w:val="009F144E"/>
    <w:rsid w:val="009F50AE"/>
    <w:rsid w:val="009F6F9E"/>
    <w:rsid w:val="00A01F6F"/>
    <w:rsid w:val="00A07A36"/>
    <w:rsid w:val="00A1292A"/>
    <w:rsid w:val="00A1333B"/>
    <w:rsid w:val="00A13B7A"/>
    <w:rsid w:val="00A147C6"/>
    <w:rsid w:val="00A20A35"/>
    <w:rsid w:val="00A22232"/>
    <w:rsid w:val="00A234F1"/>
    <w:rsid w:val="00A3237A"/>
    <w:rsid w:val="00A32A12"/>
    <w:rsid w:val="00A336D4"/>
    <w:rsid w:val="00A36A74"/>
    <w:rsid w:val="00A37057"/>
    <w:rsid w:val="00A37C2E"/>
    <w:rsid w:val="00A4093C"/>
    <w:rsid w:val="00A42B1E"/>
    <w:rsid w:val="00A44777"/>
    <w:rsid w:val="00A47D1A"/>
    <w:rsid w:val="00A525AF"/>
    <w:rsid w:val="00A52A79"/>
    <w:rsid w:val="00A54072"/>
    <w:rsid w:val="00A56E30"/>
    <w:rsid w:val="00A575E1"/>
    <w:rsid w:val="00A600A1"/>
    <w:rsid w:val="00A60140"/>
    <w:rsid w:val="00A61188"/>
    <w:rsid w:val="00A61302"/>
    <w:rsid w:val="00A64185"/>
    <w:rsid w:val="00A70140"/>
    <w:rsid w:val="00A705AC"/>
    <w:rsid w:val="00A73031"/>
    <w:rsid w:val="00A73169"/>
    <w:rsid w:val="00A7622A"/>
    <w:rsid w:val="00A7781E"/>
    <w:rsid w:val="00A80BA4"/>
    <w:rsid w:val="00A816CF"/>
    <w:rsid w:val="00A81B31"/>
    <w:rsid w:val="00A83DCD"/>
    <w:rsid w:val="00A844BD"/>
    <w:rsid w:val="00A85727"/>
    <w:rsid w:val="00A91E24"/>
    <w:rsid w:val="00A972C7"/>
    <w:rsid w:val="00AA1486"/>
    <w:rsid w:val="00AA5EB8"/>
    <w:rsid w:val="00AA5F5A"/>
    <w:rsid w:val="00AB199A"/>
    <w:rsid w:val="00AB1F2F"/>
    <w:rsid w:val="00AB2FD9"/>
    <w:rsid w:val="00AB3047"/>
    <w:rsid w:val="00AB57F2"/>
    <w:rsid w:val="00AB7A00"/>
    <w:rsid w:val="00AC0347"/>
    <w:rsid w:val="00AC21AF"/>
    <w:rsid w:val="00AC4BAA"/>
    <w:rsid w:val="00AC5587"/>
    <w:rsid w:val="00AC588D"/>
    <w:rsid w:val="00AD0F35"/>
    <w:rsid w:val="00AD4456"/>
    <w:rsid w:val="00AD50AC"/>
    <w:rsid w:val="00AD5B56"/>
    <w:rsid w:val="00AE0451"/>
    <w:rsid w:val="00AE0CA7"/>
    <w:rsid w:val="00AE1AAF"/>
    <w:rsid w:val="00AE4B5E"/>
    <w:rsid w:val="00AE5317"/>
    <w:rsid w:val="00AE55CA"/>
    <w:rsid w:val="00AE5E4F"/>
    <w:rsid w:val="00AF0E4C"/>
    <w:rsid w:val="00AF597D"/>
    <w:rsid w:val="00AF63C0"/>
    <w:rsid w:val="00B002C9"/>
    <w:rsid w:val="00B03FD7"/>
    <w:rsid w:val="00B04010"/>
    <w:rsid w:val="00B06278"/>
    <w:rsid w:val="00B1159B"/>
    <w:rsid w:val="00B225BD"/>
    <w:rsid w:val="00B227A6"/>
    <w:rsid w:val="00B229D9"/>
    <w:rsid w:val="00B2317E"/>
    <w:rsid w:val="00B30538"/>
    <w:rsid w:val="00B326BF"/>
    <w:rsid w:val="00B346E7"/>
    <w:rsid w:val="00B34AAB"/>
    <w:rsid w:val="00B40D66"/>
    <w:rsid w:val="00B424DD"/>
    <w:rsid w:val="00B473C4"/>
    <w:rsid w:val="00B5302F"/>
    <w:rsid w:val="00B53D5E"/>
    <w:rsid w:val="00B54C87"/>
    <w:rsid w:val="00B56E60"/>
    <w:rsid w:val="00B620BD"/>
    <w:rsid w:val="00B64DDD"/>
    <w:rsid w:val="00B6567A"/>
    <w:rsid w:val="00B724AA"/>
    <w:rsid w:val="00B73002"/>
    <w:rsid w:val="00B743E9"/>
    <w:rsid w:val="00B7486B"/>
    <w:rsid w:val="00B74A43"/>
    <w:rsid w:val="00B81AD9"/>
    <w:rsid w:val="00B81DA8"/>
    <w:rsid w:val="00B82699"/>
    <w:rsid w:val="00B84C1F"/>
    <w:rsid w:val="00B86165"/>
    <w:rsid w:val="00B9047B"/>
    <w:rsid w:val="00B928F3"/>
    <w:rsid w:val="00B94592"/>
    <w:rsid w:val="00B95B03"/>
    <w:rsid w:val="00BA42E8"/>
    <w:rsid w:val="00BA52C4"/>
    <w:rsid w:val="00BA59FB"/>
    <w:rsid w:val="00BB3E23"/>
    <w:rsid w:val="00BB607E"/>
    <w:rsid w:val="00BC2557"/>
    <w:rsid w:val="00BD0E68"/>
    <w:rsid w:val="00BD1843"/>
    <w:rsid w:val="00BD3022"/>
    <w:rsid w:val="00BD4894"/>
    <w:rsid w:val="00BD5897"/>
    <w:rsid w:val="00BD6CB3"/>
    <w:rsid w:val="00BE0DEE"/>
    <w:rsid w:val="00BE241D"/>
    <w:rsid w:val="00BE3546"/>
    <w:rsid w:val="00BE69FE"/>
    <w:rsid w:val="00BF53BC"/>
    <w:rsid w:val="00BF5D4B"/>
    <w:rsid w:val="00BF5E37"/>
    <w:rsid w:val="00BF7ED7"/>
    <w:rsid w:val="00C00B3B"/>
    <w:rsid w:val="00C055B3"/>
    <w:rsid w:val="00C074BD"/>
    <w:rsid w:val="00C076A2"/>
    <w:rsid w:val="00C10CAC"/>
    <w:rsid w:val="00C11E46"/>
    <w:rsid w:val="00C1273E"/>
    <w:rsid w:val="00C14790"/>
    <w:rsid w:val="00C178BF"/>
    <w:rsid w:val="00C20D9D"/>
    <w:rsid w:val="00C2202A"/>
    <w:rsid w:val="00C23C97"/>
    <w:rsid w:val="00C23CB2"/>
    <w:rsid w:val="00C23CE2"/>
    <w:rsid w:val="00C24F3D"/>
    <w:rsid w:val="00C26151"/>
    <w:rsid w:val="00C32899"/>
    <w:rsid w:val="00C37AA1"/>
    <w:rsid w:val="00C427DD"/>
    <w:rsid w:val="00C5218E"/>
    <w:rsid w:val="00C5508B"/>
    <w:rsid w:val="00C56C0A"/>
    <w:rsid w:val="00C60639"/>
    <w:rsid w:val="00C62A89"/>
    <w:rsid w:val="00C64188"/>
    <w:rsid w:val="00C64374"/>
    <w:rsid w:val="00C67ED2"/>
    <w:rsid w:val="00C71882"/>
    <w:rsid w:val="00C746B5"/>
    <w:rsid w:val="00C74A7E"/>
    <w:rsid w:val="00C76210"/>
    <w:rsid w:val="00C86A87"/>
    <w:rsid w:val="00C86D31"/>
    <w:rsid w:val="00C873FA"/>
    <w:rsid w:val="00C90CFF"/>
    <w:rsid w:val="00C913E8"/>
    <w:rsid w:val="00C928C3"/>
    <w:rsid w:val="00C92EDD"/>
    <w:rsid w:val="00C95157"/>
    <w:rsid w:val="00C97503"/>
    <w:rsid w:val="00CA23C9"/>
    <w:rsid w:val="00CA2D92"/>
    <w:rsid w:val="00CA39C5"/>
    <w:rsid w:val="00CB139F"/>
    <w:rsid w:val="00CC0C0A"/>
    <w:rsid w:val="00CC19FF"/>
    <w:rsid w:val="00CC1F8E"/>
    <w:rsid w:val="00CC61D2"/>
    <w:rsid w:val="00CC75C4"/>
    <w:rsid w:val="00CD03FF"/>
    <w:rsid w:val="00CD18B1"/>
    <w:rsid w:val="00CD451C"/>
    <w:rsid w:val="00CD4DFC"/>
    <w:rsid w:val="00CE1943"/>
    <w:rsid w:val="00CE471A"/>
    <w:rsid w:val="00CE5C3D"/>
    <w:rsid w:val="00CE7EA5"/>
    <w:rsid w:val="00CF0AD0"/>
    <w:rsid w:val="00CF2288"/>
    <w:rsid w:val="00CF2566"/>
    <w:rsid w:val="00CF3BAF"/>
    <w:rsid w:val="00CF45EB"/>
    <w:rsid w:val="00CF5004"/>
    <w:rsid w:val="00CF64E4"/>
    <w:rsid w:val="00CF687C"/>
    <w:rsid w:val="00D0042E"/>
    <w:rsid w:val="00D0429E"/>
    <w:rsid w:val="00D07EEA"/>
    <w:rsid w:val="00D10BE7"/>
    <w:rsid w:val="00D11379"/>
    <w:rsid w:val="00D11A75"/>
    <w:rsid w:val="00D215EC"/>
    <w:rsid w:val="00D21ACF"/>
    <w:rsid w:val="00D31C4A"/>
    <w:rsid w:val="00D31D8F"/>
    <w:rsid w:val="00D33730"/>
    <w:rsid w:val="00D360F3"/>
    <w:rsid w:val="00D37FD6"/>
    <w:rsid w:val="00D46DCA"/>
    <w:rsid w:val="00D525A6"/>
    <w:rsid w:val="00D53341"/>
    <w:rsid w:val="00D56BC9"/>
    <w:rsid w:val="00D57D95"/>
    <w:rsid w:val="00D6296E"/>
    <w:rsid w:val="00D62E86"/>
    <w:rsid w:val="00D64DA2"/>
    <w:rsid w:val="00D6574D"/>
    <w:rsid w:val="00D67BA8"/>
    <w:rsid w:val="00D75DAC"/>
    <w:rsid w:val="00D76740"/>
    <w:rsid w:val="00D76CB4"/>
    <w:rsid w:val="00D777EB"/>
    <w:rsid w:val="00D77EFB"/>
    <w:rsid w:val="00D858F1"/>
    <w:rsid w:val="00D86AF4"/>
    <w:rsid w:val="00D87F65"/>
    <w:rsid w:val="00D90899"/>
    <w:rsid w:val="00D93212"/>
    <w:rsid w:val="00D9382E"/>
    <w:rsid w:val="00D942E0"/>
    <w:rsid w:val="00D95966"/>
    <w:rsid w:val="00D95998"/>
    <w:rsid w:val="00D961FF"/>
    <w:rsid w:val="00DA156C"/>
    <w:rsid w:val="00DA34C3"/>
    <w:rsid w:val="00DA6A84"/>
    <w:rsid w:val="00DB2815"/>
    <w:rsid w:val="00DB6D81"/>
    <w:rsid w:val="00DB7E1F"/>
    <w:rsid w:val="00DC23B4"/>
    <w:rsid w:val="00DC4406"/>
    <w:rsid w:val="00DD2853"/>
    <w:rsid w:val="00DD3FFE"/>
    <w:rsid w:val="00DD51E7"/>
    <w:rsid w:val="00DE076C"/>
    <w:rsid w:val="00DE3B15"/>
    <w:rsid w:val="00DF02FA"/>
    <w:rsid w:val="00DF0CAA"/>
    <w:rsid w:val="00DF1CC4"/>
    <w:rsid w:val="00DF1F9A"/>
    <w:rsid w:val="00DF4939"/>
    <w:rsid w:val="00DF69A1"/>
    <w:rsid w:val="00DF7CF3"/>
    <w:rsid w:val="00E0326E"/>
    <w:rsid w:val="00E0463A"/>
    <w:rsid w:val="00E05E94"/>
    <w:rsid w:val="00E13728"/>
    <w:rsid w:val="00E14A78"/>
    <w:rsid w:val="00E15578"/>
    <w:rsid w:val="00E20B71"/>
    <w:rsid w:val="00E21702"/>
    <w:rsid w:val="00E243A5"/>
    <w:rsid w:val="00E24B0E"/>
    <w:rsid w:val="00E30ED0"/>
    <w:rsid w:val="00E31673"/>
    <w:rsid w:val="00E34E0D"/>
    <w:rsid w:val="00E4198E"/>
    <w:rsid w:val="00E42792"/>
    <w:rsid w:val="00E4549D"/>
    <w:rsid w:val="00E538A1"/>
    <w:rsid w:val="00E56A36"/>
    <w:rsid w:val="00E603BC"/>
    <w:rsid w:val="00E60697"/>
    <w:rsid w:val="00E637DF"/>
    <w:rsid w:val="00E70B19"/>
    <w:rsid w:val="00E8023B"/>
    <w:rsid w:val="00E85835"/>
    <w:rsid w:val="00E93D53"/>
    <w:rsid w:val="00E95A21"/>
    <w:rsid w:val="00E96C54"/>
    <w:rsid w:val="00E974AA"/>
    <w:rsid w:val="00EA7C7D"/>
    <w:rsid w:val="00EB0FC7"/>
    <w:rsid w:val="00EB3A6D"/>
    <w:rsid w:val="00EB44BE"/>
    <w:rsid w:val="00EB529D"/>
    <w:rsid w:val="00EB6CDB"/>
    <w:rsid w:val="00EB6DBD"/>
    <w:rsid w:val="00EB7E8F"/>
    <w:rsid w:val="00EC11C9"/>
    <w:rsid w:val="00EC1FCA"/>
    <w:rsid w:val="00EC5600"/>
    <w:rsid w:val="00EC5AF9"/>
    <w:rsid w:val="00EC68C7"/>
    <w:rsid w:val="00EC705C"/>
    <w:rsid w:val="00ED17B9"/>
    <w:rsid w:val="00ED531C"/>
    <w:rsid w:val="00ED7394"/>
    <w:rsid w:val="00EE4B02"/>
    <w:rsid w:val="00EE7F88"/>
    <w:rsid w:val="00EF03DD"/>
    <w:rsid w:val="00EF062E"/>
    <w:rsid w:val="00EF328A"/>
    <w:rsid w:val="00EF6955"/>
    <w:rsid w:val="00F03814"/>
    <w:rsid w:val="00F0555F"/>
    <w:rsid w:val="00F065B0"/>
    <w:rsid w:val="00F066F5"/>
    <w:rsid w:val="00F06B74"/>
    <w:rsid w:val="00F07ADB"/>
    <w:rsid w:val="00F07AF9"/>
    <w:rsid w:val="00F12711"/>
    <w:rsid w:val="00F168BB"/>
    <w:rsid w:val="00F25E61"/>
    <w:rsid w:val="00F26375"/>
    <w:rsid w:val="00F32EE4"/>
    <w:rsid w:val="00F3613E"/>
    <w:rsid w:val="00F40767"/>
    <w:rsid w:val="00F41A7D"/>
    <w:rsid w:val="00F43417"/>
    <w:rsid w:val="00F44DC3"/>
    <w:rsid w:val="00F50156"/>
    <w:rsid w:val="00F52D59"/>
    <w:rsid w:val="00F55807"/>
    <w:rsid w:val="00F57D9F"/>
    <w:rsid w:val="00F57DCA"/>
    <w:rsid w:val="00F62013"/>
    <w:rsid w:val="00F634C4"/>
    <w:rsid w:val="00F63579"/>
    <w:rsid w:val="00F649E5"/>
    <w:rsid w:val="00F6777D"/>
    <w:rsid w:val="00F742B8"/>
    <w:rsid w:val="00F742F0"/>
    <w:rsid w:val="00F81456"/>
    <w:rsid w:val="00F81B25"/>
    <w:rsid w:val="00F8247B"/>
    <w:rsid w:val="00F82DC9"/>
    <w:rsid w:val="00F839D8"/>
    <w:rsid w:val="00F83C18"/>
    <w:rsid w:val="00F855EB"/>
    <w:rsid w:val="00F860A5"/>
    <w:rsid w:val="00F86740"/>
    <w:rsid w:val="00F96D3F"/>
    <w:rsid w:val="00F96D78"/>
    <w:rsid w:val="00FA3573"/>
    <w:rsid w:val="00FB02B8"/>
    <w:rsid w:val="00FB0E70"/>
    <w:rsid w:val="00FB1BCC"/>
    <w:rsid w:val="00FB3C6B"/>
    <w:rsid w:val="00FC0AF7"/>
    <w:rsid w:val="00FC333F"/>
    <w:rsid w:val="00FD05BB"/>
    <w:rsid w:val="00FD7AFD"/>
    <w:rsid w:val="00FE02CE"/>
    <w:rsid w:val="00FE12BC"/>
    <w:rsid w:val="00FE2D5D"/>
    <w:rsid w:val="00FE5603"/>
    <w:rsid w:val="00FE58CC"/>
    <w:rsid w:val="00FF01DE"/>
    <w:rsid w:val="00FF0A0C"/>
    <w:rsid w:val="00FF0B7E"/>
    <w:rsid w:val="00FF192A"/>
    <w:rsid w:val="00FF2C19"/>
    <w:rsid w:val="00FF6436"/>
    <w:rsid w:val="00FF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7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semiHidden/>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topleveltime">
    <w:name w:val="topleveltime"/>
    <w:basedOn w:val="DefaultParagraphFont"/>
    <w:rsid w:val="000C7B10"/>
  </w:style>
  <w:style w:type="character" w:customStyle="1" w:styleId="topleveltitle">
    <w:name w:val="topleveltitle"/>
    <w:basedOn w:val="DefaultParagraphFont"/>
    <w:rsid w:val="000C7B10"/>
  </w:style>
  <w:style w:type="paragraph" w:styleId="NoSpacing">
    <w:name w:val="No Spacing"/>
    <w:uiPriority w:val="1"/>
    <w:qFormat/>
    <w:rsid w:val="00200883"/>
    <w:pPr>
      <w:spacing w:after="0" w:line="240" w:lineRule="auto"/>
      <w:jc w:val="both"/>
    </w:pPr>
    <w:rPr>
      <w:rFonts w:ascii="Calibri" w:hAnsi="Calibri"/>
    </w:rPr>
  </w:style>
  <w:style w:type="character" w:customStyle="1" w:styleId="apple-converted-space">
    <w:name w:val="apple-converted-space"/>
    <w:basedOn w:val="DefaultParagraphFont"/>
    <w:rsid w:val="00C746B5"/>
  </w:style>
  <w:style w:type="paragraph" w:styleId="Revision">
    <w:name w:val="Revision"/>
    <w:hidden/>
    <w:uiPriority w:val="99"/>
    <w:semiHidden/>
    <w:rsid w:val="00AB3047"/>
    <w:pPr>
      <w:spacing w:after="0" w:line="240" w:lineRule="auto"/>
    </w:pPr>
    <w:rPr>
      <w:rFonts w:ascii="Calibri" w:hAnsi="Calibri"/>
    </w:rPr>
  </w:style>
  <w:style w:type="character" w:customStyle="1" w:styleId="hp">
    <w:name w:val="hp"/>
    <w:basedOn w:val="DefaultParagraphFont"/>
    <w:rsid w:val="00281C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semiHidden/>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topleveltime">
    <w:name w:val="topleveltime"/>
    <w:basedOn w:val="DefaultParagraphFont"/>
    <w:rsid w:val="000C7B10"/>
  </w:style>
  <w:style w:type="character" w:customStyle="1" w:styleId="topleveltitle">
    <w:name w:val="topleveltitle"/>
    <w:basedOn w:val="DefaultParagraphFont"/>
    <w:rsid w:val="000C7B10"/>
  </w:style>
  <w:style w:type="paragraph" w:styleId="NoSpacing">
    <w:name w:val="No Spacing"/>
    <w:uiPriority w:val="1"/>
    <w:qFormat/>
    <w:rsid w:val="00200883"/>
    <w:pPr>
      <w:spacing w:after="0" w:line="240" w:lineRule="auto"/>
      <w:jc w:val="both"/>
    </w:pPr>
    <w:rPr>
      <w:rFonts w:ascii="Calibri" w:hAnsi="Calibri"/>
    </w:rPr>
  </w:style>
  <w:style w:type="character" w:customStyle="1" w:styleId="apple-converted-space">
    <w:name w:val="apple-converted-space"/>
    <w:basedOn w:val="DefaultParagraphFont"/>
    <w:rsid w:val="00C746B5"/>
  </w:style>
  <w:style w:type="paragraph" w:styleId="Revision">
    <w:name w:val="Revision"/>
    <w:hidden/>
    <w:uiPriority w:val="99"/>
    <w:semiHidden/>
    <w:rsid w:val="00AB3047"/>
    <w:pPr>
      <w:spacing w:after="0" w:line="240" w:lineRule="auto"/>
    </w:pPr>
    <w:rPr>
      <w:rFonts w:ascii="Calibri" w:hAnsi="Calibri"/>
    </w:rPr>
  </w:style>
  <w:style w:type="character" w:customStyle="1" w:styleId="hp">
    <w:name w:val="hp"/>
    <w:basedOn w:val="DefaultParagraphFont"/>
    <w:rsid w:val="00281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995">
      <w:bodyDiv w:val="1"/>
      <w:marLeft w:val="0"/>
      <w:marRight w:val="0"/>
      <w:marTop w:val="0"/>
      <w:marBottom w:val="0"/>
      <w:divBdr>
        <w:top w:val="none" w:sz="0" w:space="0" w:color="auto"/>
        <w:left w:val="none" w:sz="0" w:space="0" w:color="auto"/>
        <w:bottom w:val="none" w:sz="0" w:space="0" w:color="auto"/>
        <w:right w:val="none" w:sz="0" w:space="0" w:color="auto"/>
      </w:divBdr>
    </w:div>
    <w:div w:id="94444787">
      <w:bodyDiv w:val="1"/>
      <w:marLeft w:val="0"/>
      <w:marRight w:val="0"/>
      <w:marTop w:val="0"/>
      <w:marBottom w:val="0"/>
      <w:divBdr>
        <w:top w:val="none" w:sz="0" w:space="0" w:color="auto"/>
        <w:left w:val="none" w:sz="0" w:space="0" w:color="auto"/>
        <w:bottom w:val="none" w:sz="0" w:space="0" w:color="auto"/>
        <w:right w:val="none" w:sz="0" w:space="0" w:color="auto"/>
      </w:divBdr>
    </w:div>
    <w:div w:id="175270829">
      <w:bodyDiv w:val="1"/>
      <w:marLeft w:val="0"/>
      <w:marRight w:val="0"/>
      <w:marTop w:val="0"/>
      <w:marBottom w:val="0"/>
      <w:divBdr>
        <w:top w:val="none" w:sz="0" w:space="0" w:color="auto"/>
        <w:left w:val="none" w:sz="0" w:space="0" w:color="auto"/>
        <w:bottom w:val="none" w:sz="0" w:space="0" w:color="auto"/>
        <w:right w:val="none" w:sz="0" w:space="0" w:color="auto"/>
      </w:divBdr>
    </w:div>
    <w:div w:id="192771259">
      <w:bodyDiv w:val="1"/>
      <w:marLeft w:val="0"/>
      <w:marRight w:val="0"/>
      <w:marTop w:val="0"/>
      <w:marBottom w:val="0"/>
      <w:divBdr>
        <w:top w:val="none" w:sz="0" w:space="0" w:color="auto"/>
        <w:left w:val="none" w:sz="0" w:space="0" w:color="auto"/>
        <w:bottom w:val="none" w:sz="0" w:space="0" w:color="auto"/>
        <w:right w:val="none" w:sz="0" w:space="0" w:color="auto"/>
      </w:divBdr>
    </w:div>
    <w:div w:id="243878633">
      <w:bodyDiv w:val="1"/>
      <w:marLeft w:val="0"/>
      <w:marRight w:val="0"/>
      <w:marTop w:val="0"/>
      <w:marBottom w:val="0"/>
      <w:divBdr>
        <w:top w:val="none" w:sz="0" w:space="0" w:color="auto"/>
        <w:left w:val="none" w:sz="0" w:space="0" w:color="auto"/>
        <w:bottom w:val="none" w:sz="0" w:space="0" w:color="auto"/>
        <w:right w:val="none" w:sz="0" w:space="0" w:color="auto"/>
      </w:divBdr>
    </w:div>
    <w:div w:id="256910582">
      <w:bodyDiv w:val="1"/>
      <w:marLeft w:val="0"/>
      <w:marRight w:val="0"/>
      <w:marTop w:val="0"/>
      <w:marBottom w:val="0"/>
      <w:divBdr>
        <w:top w:val="none" w:sz="0" w:space="0" w:color="auto"/>
        <w:left w:val="none" w:sz="0" w:space="0" w:color="auto"/>
        <w:bottom w:val="none" w:sz="0" w:space="0" w:color="auto"/>
        <w:right w:val="none" w:sz="0" w:space="0" w:color="auto"/>
      </w:divBdr>
    </w:div>
    <w:div w:id="314799022">
      <w:bodyDiv w:val="1"/>
      <w:marLeft w:val="0"/>
      <w:marRight w:val="0"/>
      <w:marTop w:val="0"/>
      <w:marBottom w:val="0"/>
      <w:divBdr>
        <w:top w:val="none" w:sz="0" w:space="0" w:color="auto"/>
        <w:left w:val="none" w:sz="0" w:space="0" w:color="auto"/>
        <w:bottom w:val="none" w:sz="0" w:space="0" w:color="auto"/>
        <w:right w:val="none" w:sz="0" w:space="0" w:color="auto"/>
      </w:divBdr>
    </w:div>
    <w:div w:id="529493601">
      <w:bodyDiv w:val="1"/>
      <w:marLeft w:val="0"/>
      <w:marRight w:val="0"/>
      <w:marTop w:val="0"/>
      <w:marBottom w:val="0"/>
      <w:divBdr>
        <w:top w:val="none" w:sz="0" w:space="0" w:color="auto"/>
        <w:left w:val="none" w:sz="0" w:space="0" w:color="auto"/>
        <w:bottom w:val="none" w:sz="0" w:space="0" w:color="auto"/>
        <w:right w:val="none" w:sz="0" w:space="0" w:color="auto"/>
      </w:divBdr>
    </w:div>
    <w:div w:id="530922169">
      <w:bodyDiv w:val="1"/>
      <w:marLeft w:val="0"/>
      <w:marRight w:val="0"/>
      <w:marTop w:val="0"/>
      <w:marBottom w:val="0"/>
      <w:divBdr>
        <w:top w:val="none" w:sz="0" w:space="0" w:color="auto"/>
        <w:left w:val="none" w:sz="0" w:space="0" w:color="auto"/>
        <w:bottom w:val="none" w:sz="0" w:space="0" w:color="auto"/>
        <w:right w:val="none" w:sz="0" w:space="0" w:color="auto"/>
      </w:divBdr>
    </w:div>
    <w:div w:id="632565689">
      <w:bodyDiv w:val="1"/>
      <w:marLeft w:val="0"/>
      <w:marRight w:val="0"/>
      <w:marTop w:val="0"/>
      <w:marBottom w:val="0"/>
      <w:divBdr>
        <w:top w:val="none" w:sz="0" w:space="0" w:color="auto"/>
        <w:left w:val="none" w:sz="0" w:space="0" w:color="auto"/>
        <w:bottom w:val="none" w:sz="0" w:space="0" w:color="auto"/>
        <w:right w:val="none" w:sz="0" w:space="0" w:color="auto"/>
      </w:divBdr>
    </w:div>
    <w:div w:id="684790800">
      <w:bodyDiv w:val="1"/>
      <w:marLeft w:val="0"/>
      <w:marRight w:val="0"/>
      <w:marTop w:val="0"/>
      <w:marBottom w:val="0"/>
      <w:divBdr>
        <w:top w:val="none" w:sz="0" w:space="0" w:color="auto"/>
        <w:left w:val="none" w:sz="0" w:space="0" w:color="auto"/>
        <w:bottom w:val="none" w:sz="0" w:space="0" w:color="auto"/>
        <w:right w:val="none" w:sz="0" w:space="0" w:color="auto"/>
      </w:divBdr>
    </w:div>
    <w:div w:id="731344189">
      <w:bodyDiv w:val="1"/>
      <w:marLeft w:val="0"/>
      <w:marRight w:val="0"/>
      <w:marTop w:val="0"/>
      <w:marBottom w:val="0"/>
      <w:divBdr>
        <w:top w:val="none" w:sz="0" w:space="0" w:color="auto"/>
        <w:left w:val="none" w:sz="0" w:space="0" w:color="auto"/>
        <w:bottom w:val="none" w:sz="0" w:space="0" w:color="auto"/>
        <w:right w:val="none" w:sz="0" w:space="0" w:color="auto"/>
      </w:divBdr>
    </w:div>
    <w:div w:id="776680718">
      <w:bodyDiv w:val="1"/>
      <w:marLeft w:val="0"/>
      <w:marRight w:val="0"/>
      <w:marTop w:val="0"/>
      <w:marBottom w:val="0"/>
      <w:divBdr>
        <w:top w:val="none" w:sz="0" w:space="0" w:color="auto"/>
        <w:left w:val="none" w:sz="0" w:space="0" w:color="auto"/>
        <w:bottom w:val="none" w:sz="0" w:space="0" w:color="auto"/>
        <w:right w:val="none" w:sz="0" w:space="0" w:color="auto"/>
      </w:divBdr>
    </w:div>
    <w:div w:id="794718719">
      <w:bodyDiv w:val="1"/>
      <w:marLeft w:val="0"/>
      <w:marRight w:val="0"/>
      <w:marTop w:val="0"/>
      <w:marBottom w:val="0"/>
      <w:divBdr>
        <w:top w:val="none" w:sz="0" w:space="0" w:color="auto"/>
        <w:left w:val="none" w:sz="0" w:space="0" w:color="auto"/>
        <w:bottom w:val="none" w:sz="0" w:space="0" w:color="auto"/>
        <w:right w:val="none" w:sz="0" w:space="0" w:color="auto"/>
      </w:divBdr>
    </w:div>
    <w:div w:id="835729370">
      <w:bodyDiv w:val="1"/>
      <w:marLeft w:val="0"/>
      <w:marRight w:val="0"/>
      <w:marTop w:val="0"/>
      <w:marBottom w:val="0"/>
      <w:divBdr>
        <w:top w:val="none" w:sz="0" w:space="0" w:color="auto"/>
        <w:left w:val="none" w:sz="0" w:space="0" w:color="auto"/>
        <w:bottom w:val="none" w:sz="0" w:space="0" w:color="auto"/>
        <w:right w:val="none" w:sz="0" w:space="0" w:color="auto"/>
      </w:divBdr>
    </w:div>
    <w:div w:id="897859308">
      <w:bodyDiv w:val="1"/>
      <w:marLeft w:val="0"/>
      <w:marRight w:val="0"/>
      <w:marTop w:val="0"/>
      <w:marBottom w:val="0"/>
      <w:divBdr>
        <w:top w:val="none" w:sz="0" w:space="0" w:color="auto"/>
        <w:left w:val="none" w:sz="0" w:space="0" w:color="auto"/>
        <w:bottom w:val="none" w:sz="0" w:space="0" w:color="auto"/>
        <w:right w:val="none" w:sz="0" w:space="0" w:color="auto"/>
      </w:divBdr>
    </w:div>
    <w:div w:id="965500704">
      <w:bodyDiv w:val="1"/>
      <w:marLeft w:val="0"/>
      <w:marRight w:val="0"/>
      <w:marTop w:val="0"/>
      <w:marBottom w:val="0"/>
      <w:divBdr>
        <w:top w:val="none" w:sz="0" w:space="0" w:color="auto"/>
        <w:left w:val="none" w:sz="0" w:space="0" w:color="auto"/>
        <w:bottom w:val="none" w:sz="0" w:space="0" w:color="auto"/>
        <w:right w:val="none" w:sz="0" w:space="0" w:color="auto"/>
      </w:divBdr>
    </w:div>
    <w:div w:id="1017846852">
      <w:bodyDiv w:val="1"/>
      <w:marLeft w:val="0"/>
      <w:marRight w:val="0"/>
      <w:marTop w:val="0"/>
      <w:marBottom w:val="0"/>
      <w:divBdr>
        <w:top w:val="none" w:sz="0" w:space="0" w:color="auto"/>
        <w:left w:val="none" w:sz="0" w:space="0" w:color="auto"/>
        <w:bottom w:val="none" w:sz="0" w:space="0" w:color="auto"/>
        <w:right w:val="none" w:sz="0" w:space="0" w:color="auto"/>
      </w:divBdr>
    </w:div>
    <w:div w:id="1039167830">
      <w:bodyDiv w:val="1"/>
      <w:marLeft w:val="0"/>
      <w:marRight w:val="0"/>
      <w:marTop w:val="0"/>
      <w:marBottom w:val="0"/>
      <w:divBdr>
        <w:top w:val="none" w:sz="0" w:space="0" w:color="auto"/>
        <w:left w:val="none" w:sz="0" w:space="0" w:color="auto"/>
        <w:bottom w:val="none" w:sz="0" w:space="0" w:color="auto"/>
        <w:right w:val="none" w:sz="0" w:space="0" w:color="auto"/>
      </w:divBdr>
    </w:div>
    <w:div w:id="1093471483">
      <w:bodyDiv w:val="1"/>
      <w:marLeft w:val="0"/>
      <w:marRight w:val="0"/>
      <w:marTop w:val="0"/>
      <w:marBottom w:val="0"/>
      <w:divBdr>
        <w:top w:val="none" w:sz="0" w:space="0" w:color="auto"/>
        <w:left w:val="none" w:sz="0" w:space="0" w:color="auto"/>
        <w:bottom w:val="none" w:sz="0" w:space="0" w:color="auto"/>
        <w:right w:val="none" w:sz="0" w:space="0" w:color="auto"/>
      </w:divBdr>
    </w:div>
    <w:div w:id="1119297947">
      <w:bodyDiv w:val="1"/>
      <w:marLeft w:val="0"/>
      <w:marRight w:val="0"/>
      <w:marTop w:val="0"/>
      <w:marBottom w:val="0"/>
      <w:divBdr>
        <w:top w:val="none" w:sz="0" w:space="0" w:color="auto"/>
        <w:left w:val="none" w:sz="0" w:space="0" w:color="auto"/>
        <w:bottom w:val="none" w:sz="0" w:space="0" w:color="auto"/>
        <w:right w:val="none" w:sz="0" w:space="0" w:color="auto"/>
      </w:divBdr>
    </w:div>
    <w:div w:id="1149322860">
      <w:bodyDiv w:val="1"/>
      <w:marLeft w:val="0"/>
      <w:marRight w:val="0"/>
      <w:marTop w:val="0"/>
      <w:marBottom w:val="0"/>
      <w:divBdr>
        <w:top w:val="none" w:sz="0" w:space="0" w:color="auto"/>
        <w:left w:val="none" w:sz="0" w:space="0" w:color="auto"/>
        <w:bottom w:val="none" w:sz="0" w:space="0" w:color="auto"/>
        <w:right w:val="none" w:sz="0" w:space="0" w:color="auto"/>
      </w:divBdr>
    </w:div>
    <w:div w:id="1215695504">
      <w:bodyDiv w:val="1"/>
      <w:marLeft w:val="0"/>
      <w:marRight w:val="0"/>
      <w:marTop w:val="0"/>
      <w:marBottom w:val="0"/>
      <w:divBdr>
        <w:top w:val="none" w:sz="0" w:space="0" w:color="auto"/>
        <w:left w:val="none" w:sz="0" w:space="0" w:color="auto"/>
        <w:bottom w:val="none" w:sz="0" w:space="0" w:color="auto"/>
        <w:right w:val="none" w:sz="0" w:space="0" w:color="auto"/>
      </w:divBdr>
    </w:div>
    <w:div w:id="1231575676">
      <w:bodyDiv w:val="1"/>
      <w:marLeft w:val="0"/>
      <w:marRight w:val="0"/>
      <w:marTop w:val="0"/>
      <w:marBottom w:val="0"/>
      <w:divBdr>
        <w:top w:val="none" w:sz="0" w:space="0" w:color="auto"/>
        <w:left w:val="none" w:sz="0" w:space="0" w:color="auto"/>
        <w:bottom w:val="none" w:sz="0" w:space="0" w:color="auto"/>
        <w:right w:val="none" w:sz="0" w:space="0" w:color="auto"/>
      </w:divBdr>
    </w:div>
    <w:div w:id="1343237295">
      <w:bodyDiv w:val="1"/>
      <w:marLeft w:val="0"/>
      <w:marRight w:val="0"/>
      <w:marTop w:val="0"/>
      <w:marBottom w:val="0"/>
      <w:divBdr>
        <w:top w:val="none" w:sz="0" w:space="0" w:color="auto"/>
        <w:left w:val="none" w:sz="0" w:space="0" w:color="auto"/>
        <w:bottom w:val="none" w:sz="0" w:space="0" w:color="auto"/>
        <w:right w:val="none" w:sz="0" w:space="0" w:color="auto"/>
      </w:divBdr>
    </w:div>
    <w:div w:id="1480027591">
      <w:bodyDiv w:val="1"/>
      <w:marLeft w:val="0"/>
      <w:marRight w:val="0"/>
      <w:marTop w:val="0"/>
      <w:marBottom w:val="0"/>
      <w:divBdr>
        <w:top w:val="none" w:sz="0" w:space="0" w:color="auto"/>
        <w:left w:val="none" w:sz="0" w:space="0" w:color="auto"/>
        <w:bottom w:val="none" w:sz="0" w:space="0" w:color="auto"/>
        <w:right w:val="none" w:sz="0" w:space="0" w:color="auto"/>
      </w:divBdr>
    </w:div>
    <w:div w:id="1511724571">
      <w:bodyDiv w:val="1"/>
      <w:marLeft w:val="0"/>
      <w:marRight w:val="0"/>
      <w:marTop w:val="0"/>
      <w:marBottom w:val="0"/>
      <w:divBdr>
        <w:top w:val="none" w:sz="0" w:space="0" w:color="auto"/>
        <w:left w:val="none" w:sz="0" w:space="0" w:color="auto"/>
        <w:bottom w:val="none" w:sz="0" w:space="0" w:color="auto"/>
        <w:right w:val="none" w:sz="0" w:space="0" w:color="auto"/>
      </w:divBdr>
    </w:div>
    <w:div w:id="1530875212">
      <w:bodyDiv w:val="1"/>
      <w:marLeft w:val="0"/>
      <w:marRight w:val="0"/>
      <w:marTop w:val="0"/>
      <w:marBottom w:val="0"/>
      <w:divBdr>
        <w:top w:val="none" w:sz="0" w:space="0" w:color="auto"/>
        <w:left w:val="none" w:sz="0" w:space="0" w:color="auto"/>
        <w:bottom w:val="none" w:sz="0" w:space="0" w:color="auto"/>
        <w:right w:val="none" w:sz="0" w:space="0" w:color="auto"/>
      </w:divBdr>
    </w:div>
    <w:div w:id="1560360831">
      <w:bodyDiv w:val="1"/>
      <w:marLeft w:val="0"/>
      <w:marRight w:val="0"/>
      <w:marTop w:val="0"/>
      <w:marBottom w:val="0"/>
      <w:divBdr>
        <w:top w:val="none" w:sz="0" w:space="0" w:color="auto"/>
        <w:left w:val="none" w:sz="0" w:space="0" w:color="auto"/>
        <w:bottom w:val="none" w:sz="0" w:space="0" w:color="auto"/>
        <w:right w:val="none" w:sz="0" w:space="0" w:color="auto"/>
      </w:divBdr>
    </w:div>
    <w:div w:id="1725762649">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96100433">
      <w:bodyDiv w:val="1"/>
      <w:marLeft w:val="0"/>
      <w:marRight w:val="0"/>
      <w:marTop w:val="0"/>
      <w:marBottom w:val="0"/>
      <w:divBdr>
        <w:top w:val="none" w:sz="0" w:space="0" w:color="auto"/>
        <w:left w:val="none" w:sz="0" w:space="0" w:color="auto"/>
        <w:bottom w:val="none" w:sz="0" w:space="0" w:color="auto"/>
        <w:right w:val="none" w:sz="0" w:space="0" w:color="auto"/>
      </w:divBdr>
    </w:div>
    <w:div w:id="1820152225">
      <w:bodyDiv w:val="1"/>
      <w:marLeft w:val="0"/>
      <w:marRight w:val="0"/>
      <w:marTop w:val="0"/>
      <w:marBottom w:val="0"/>
      <w:divBdr>
        <w:top w:val="none" w:sz="0" w:space="0" w:color="auto"/>
        <w:left w:val="none" w:sz="0" w:space="0" w:color="auto"/>
        <w:bottom w:val="none" w:sz="0" w:space="0" w:color="auto"/>
        <w:right w:val="none" w:sz="0" w:space="0" w:color="auto"/>
      </w:divBdr>
    </w:div>
    <w:div w:id="1824351917">
      <w:bodyDiv w:val="1"/>
      <w:marLeft w:val="0"/>
      <w:marRight w:val="0"/>
      <w:marTop w:val="0"/>
      <w:marBottom w:val="0"/>
      <w:divBdr>
        <w:top w:val="none" w:sz="0" w:space="0" w:color="auto"/>
        <w:left w:val="none" w:sz="0" w:space="0" w:color="auto"/>
        <w:bottom w:val="none" w:sz="0" w:space="0" w:color="auto"/>
        <w:right w:val="none" w:sz="0" w:space="0" w:color="auto"/>
      </w:divBdr>
    </w:div>
    <w:div w:id="1865047005">
      <w:bodyDiv w:val="1"/>
      <w:marLeft w:val="0"/>
      <w:marRight w:val="0"/>
      <w:marTop w:val="0"/>
      <w:marBottom w:val="0"/>
      <w:divBdr>
        <w:top w:val="none" w:sz="0" w:space="0" w:color="auto"/>
        <w:left w:val="none" w:sz="0" w:space="0" w:color="auto"/>
        <w:bottom w:val="none" w:sz="0" w:space="0" w:color="auto"/>
        <w:right w:val="none" w:sz="0" w:space="0" w:color="auto"/>
      </w:divBdr>
    </w:div>
    <w:div w:id="1889292465">
      <w:bodyDiv w:val="1"/>
      <w:marLeft w:val="0"/>
      <w:marRight w:val="0"/>
      <w:marTop w:val="0"/>
      <w:marBottom w:val="0"/>
      <w:divBdr>
        <w:top w:val="none" w:sz="0" w:space="0" w:color="auto"/>
        <w:left w:val="none" w:sz="0" w:space="0" w:color="auto"/>
        <w:bottom w:val="none" w:sz="0" w:space="0" w:color="auto"/>
        <w:right w:val="none" w:sz="0" w:space="0" w:color="auto"/>
      </w:divBdr>
    </w:div>
    <w:div w:id="1893228689">
      <w:bodyDiv w:val="1"/>
      <w:marLeft w:val="0"/>
      <w:marRight w:val="0"/>
      <w:marTop w:val="0"/>
      <w:marBottom w:val="0"/>
      <w:divBdr>
        <w:top w:val="none" w:sz="0" w:space="0" w:color="auto"/>
        <w:left w:val="none" w:sz="0" w:space="0" w:color="auto"/>
        <w:bottom w:val="none" w:sz="0" w:space="0" w:color="auto"/>
        <w:right w:val="none" w:sz="0" w:space="0" w:color="auto"/>
      </w:divBdr>
    </w:div>
    <w:div w:id="1987511396">
      <w:bodyDiv w:val="1"/>
      <w:marLeft w:val="0"/>
      <w:marRight w:val="0"/>
      <w:marTop w:val="0"/>
      <w:marBottom w:val="0"/>
      <w:divBdr>
        <w:top w:val="none" w:sz="0" w:space="0" w:color="auto"/>
        <w:left w:val="none" w:sz="0" w:space="0" w:color="auto"/>
        <w:bottom w:val="none" w:sz="0" w:space="0" w:color="auto"/>
        <w:right w:val="none" w:sz="0" w:space="0" w:color="auto"/>
      </w:divBdr>
    </w:div>
    <w:div w:id="2010715181">
      <w:bodyDiv w:val="1"/>
      <w:marLeft w:val="0"/>
      <w:marRight w:val="0"/>
      <w:marTop w:val="0"/>
      <w:marBottom w:val="0"/>
      <w:divBdr>
        <w:top w:val="none" w:sz="0" w:space="0" w:color="auto"/>
        <w:left w:val="none" w:sz="0" w:space="0" w:color="auto"/>
        <w:bottom w:val="none" w:sz="0" w:space="0" w:color="auto"/>
        <w:right w:val="none" w:sz="0" w:space="0" w:color="auto"/>
      </w:divBdr>
    </w:div>
    <w:div w:id="204034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uments.egi.eu/secure/RetrieveFile?docid=1369&amp;version=5&amp;filename=VT-SciPubRepo-Recommendations-Final.pdf"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6D9CE-46BE-2A4B-BD1A-224C7BC1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8</Pages>
  <Words>1715</Words>
  <Characters>9781</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Damir  Marinovic</cp:lastModifiedBy>
  <cp:revision>114</cp:revision>
  <dcterms:created xsi:type="dcterms:W3CDTF">2012-07-20T09:48:00Z</dcterms:created>
  <dcterms:modified xsi:type="dcterms:W3CDTF">2012-12-17T13:42:00Z</dcterms:modified>
</cp:coreProperties>
</file>