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BC" w:rsidRPr="007F6E2C" w:rsidRDefault="00A916BC">
      <w:pPr>
        <w:pStyle w:val="DocTitle"/>
        <w:tabs>
          <w:tab w:val="center" w:pos="4536"/>
          <w:tab w:val="left" w:pos="7800"/>
        </w:tabs>
        <w:rPr>
          <w:rFonts w:ascii="Cambria" w:hAnsi="Cambria"/>
          <w:b/>
          <w:color w:val="000000"/>
          <w:sz w:val="24"/>
        </w:rPr>
      </w:pPr>
      <w:r w:rsidRPr="007F6E2C">
        <w:rPr>
          <w:rFonts w:ascii="Cambria" w:hAnsi="Cambria"/>
          <w:b/>
          <w:color w:val="000000"/>
          <w:sz w:val="24"/>
        </w:rPr>
        <w:t>HPC/HTC Workflows for the Computational Chemistry Community</w:t>
      </w:r>
    </w:p>
    <w:p w:rsidR="00A916BC" w:rsidRPr="007F6E2C" w:rsidRDefault="00A916BC">
      <w:pPr>
        <w:pStyle w:val="DocTitle"/>
        <w:tabs>
          <w:tab w:val="center" w:pos="4536"/>
          <w:tab w:val="left" w:pos="7800"/>
        </w:tabs>
        <w:rPr>
          <w:rFonts w:ascii="Cambria" w:hAnsi="Cambria"/>
          <w:b/>
          <w:color w:val="000000"/>
          <w:sz w:val="20"/>
        </w:rPr>
      </w:pPr>
      <w:r w:rsidRPr="007F6E2C">
        <w:rPr>
          <w:rFonts w:ascii="Cambria" w:hAnsi="Cambria"/>
          <w:b/>
          <w:color w:val="000000"/>
          <w:sz w:val="24"/>
        </w:rPr>
        <w:t>(XSEDE-EGI Collaborative U</w:t>
      </w:r>
      <w:r w:rsidR="007F751A" w:rsidRPr="007F6E2C">
        <w:rPr>
          <w:rFonts w:ascii="Cambria" w:hAnsi="Cambria"/>
          <w:b/>
          <w:color w:val="000000"/>
          <w:sz w:val="24"/>
        </w:rPr>
        <w:t xml:space="preserve">se </w:t>
      </w:r>
      <w:r w:rsidRPr="007F6E2C">
        <w:rPr>
          <w:rFonts w:ascii="Cambria" w:hAnsi="Cambria"/>
          <w:b/>
          <w:color w:val="000000"/>
          <w:sz w:val="24"/>
        </w:rPr>
        <w:t>E</w:t>
      </w:r>
      <w:r w:rsidR="007F751A" w:rsidRPr="007F6E2C">
        <w:rPr>
          <w:rFonts w:ascii="Cambria" w:hAnsi="Cambria"/>
          <w:b/>
          <w:color w:val="000000"/>
          <w:sz w:val="24"/>
        </w:rPr>
        <w:t>xample</w:t>
      </w:r>
      <w:r w:rsidRPr="007F6E2C">
        <w:rPr>
          <w:rFonts w:ascii="Cambria" w:hAnsi="Cambria"/>
          <w:b/>
          <w:color w:val="000000"/>
          <w:sz w:val="24"/>
        </w:rPr>
        <w:t>)</w:t>
      </w:r>
    </w:p>
    <w:p w:rsidR="00A916BC" w:rsidRDefault="00A916BC">
      <w:pPr>
        <w:pStyle w:val="Normale1"/>
        <w:jc w:val="center"/>
        <w:rPr>
          <w:sz w:val="22"/>
        </w:rPr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2343"/>
        <w:gridCol w:w="4035"/>
      </w:tblGrid>
      <w:tr w:rsidR="00A916BC">
        <w:trPr>
          <w:cantSplit/>
          <w:trHeight w:val="220"/>
          <w:jc w:val="center"/>
        </w:trPr>
        <w:tc>
          <w:tcPr>
            <w:tcW w:w="2343" w:type="dxa"/>
            <w:tcBorders>
              <w:top w:val="single" w:sz="24" w:space="0" w:color="000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6BC" w:rsidRDefault="00A916BC">
            <w:pPr>
              <w:pStyle w:val="Normale1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035" w:type="dxa"/>
            <w:tcBorders>
              <w:top w:val="single" w:sz="24" w:space="0" w:color="000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6BC" w:rsidRDefault="009F0590">
            <w:pPr>
              <w:pStyle w:val="DocDate"/>
              <w:rPr>
                <w:rFonts w:ascii="Lucida Grande" w:hAnsi="Lucida Grande"/>
                <w:b/>
                <w:sz w:val="20"/>
              </w:rPr>
            </w:pPr>
            <w:r>
              <w:rPr>
                <w:rFonts w:ascii="Lucida Grande" w:hAnsi="Lucida Grande"/>
                <w:b/>
                <w:sz w:val="20"/>
                <w:lang w:val="it-IT"/>
              </w:rPr>
              <w:t>13</w:t>
            </w:r>
            <w:r w:rsidR="00A916BC">
              <w:rPr>
                <w:rFonts w:ascii="Lucida Grande" w:hAnsi="Lucida Grande"/>
                <w:b/>
                <w:sz w:val="20"/>
              </w:rPr>
              <w:t>/2/2013</w:t>
            </w:r>
          </w:p>
        </w:tc>
      </w:tr>
      <w:tr w:rsidR="00A916BC" w:rsidTr="009F0590">
        <w:trPr>
          <w:cantSplit/>
          <w:trHeight w:val="304"/>
          <w:jc w:val="center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6BC" w:rsidRDefault="00A916BC">
            <w:pPr>
              <w:pStyle w:val="header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Document Status: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6BC" w:rsidRDefault="009F0590">
            <w:pPr>
              <w:pStyle w:val="Normale1"/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V2</w:t>
            </w:r>
            <w:r w:rsidR="00F70CBC">
              <w:rPr>
                <w:b/>
                <w:sz w:val="20"/>
              </w:rPr>
              <w:t>.0</w:t>
            </w:r>
          </w:p>
        </w:tc>
      </w:tr>
      <w:tr w:rsidR="00A916BC" w:rsidTr="009F0590">
        <w:trPr>
          <w:cantSplit/>
          <w:trHeight w:val="241"/>
          <w:jc w:val="center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6BC" w:rsidRDefault="00A916BC">
            <w:pPr>
              <w:pStyle w:val="header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Dissemination Level: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6BC" w:rsidRDefault="009F0590">
            <w:pPr>
              <w:pStyle w:val="Normale1"/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</w:p>
        </w:tc>
      </w:tr>
      <w:tr w:rsidR="00A916BC">
        <w:trPr>
          <w:cantSplit/>
          <w:trHeight w:val="260"/>
          <w:jc w:val="center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24" w:space="0" w:color="00008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6BC" w:rsidRDefault="00A916BC">
            <w:pPr>
              <w:pStyle w:val="Normale1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Document Link: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24" w:space="0" w:color="00008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6BC" w:rsidRDefault="00A916BC">
            <w:pPr>
              <w:pStyle w:val="Normale1"/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N.A.</w:t>
            </w:r>
          </w:p>
        </w:tc>
      </w:tr>
    </w:tbl>
    <w:p w:rsidR="00A916BC" w:rsidRDefault="00A916BC">
      <w:pPr>
        <w:pStyle w:val="Modulovuoto"/>
        <w:jc w:val="center"/>
        <w:rPr>
          <w:sz w:val="22"/>
        </w:rPr>
      </w:pPr>
    </w:p>
    <w:p w:rsidR="00A916BC" w:rsidRDefault="00A916BC">
      <w:pPr>
        <w:pStyle w:val="ModulovuotoBA"/>
        <w:rPr>
          <w:sz w:val="22"/>
        </w:rPr>
      </w:pPr>
    </w:p>
    <w:p w:rsidR="00A916BC" w:rsidRDefault="00A916BC">
      <w:pPr>
        <w:pStyle w:val="ModulovuotoA"/>
        <w:rPr>
          <w:sz w:val="22"/>
        </w:rPr>
      </w:pPr>
    </w:p>
    <w:p w:rsidR="00A916BC" w:rsidRDefault="00A916BC">
      <w:pPr>
        <w:pStyle w:val="Normale1"/>
        <w:numPr>
          <w:ilvl w:val="0"/>
          <w:numId w:val="1"/>
        </w:numPr>
        <w:tabs>
          <w:tab w:val="clear" w:pos="555"/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0" w:hanging="555"/>
        <w:rPr>
          <w:b/>
          <w:sz w:val="20"/>
        </w:rPr>
      </w:pPr>
      <w:r>
        <w:rPr>
          <w:b/>
          <w:sz w:val="20"/>
        </w:rPr>
        <w:t>Overview</w:t>
      </w:r>
    </w:p>
    <w:p w:rsidR="00A916BC" w:rsidRDefault="00A916B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365"/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7F751A" w:rsidRPr="00386E5A" w:rsidRDefault="007F751A" w:rsidP="007F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Lucida Grande" w:hAnsi="Lucida Grande"/>
          <w:sz w:val="20"/>
          <w:szCs w:val="20"/>
          <w:lang w:eastAsia="it-IT"/>
        </w:rPr>
      </w:pPr>
      <w:r w:rsidRPr="00386E5A">
        <w:rPr>
          <w:rFonts w:ascii="Lucida Grande" w:hAnsi="Lucida Grande"/>
          <w:sz w:val="20"/>
          <w:szCs w:val="20"/>
          <w:lang w:eastAsia="it-IT"/>
        </w:rPr>
        <w:t>In the recent years, following the requests from some EGI VOs, the need to bridge  HTC and HPC infrastructures making them interoperable to run complex computational workflows</w:t>
      </w:r>
      <w:r w:rsidR="00D67DC0">
        <w:rPr>
          <w:rFonts w:ascii="Lucida Grande" w:hAnsi="Lucida Grande"/>
          <w:sz w:val="20"/>
          <w:szCs w:val="20"/>
          <w:lang w:eastAsia="it-IT"/>
        </w:rPr>
        <w:t xml:space="preserve"> has dramatically grown</w:t>
      </w:r>
      <w:r w:rsidRPr="00386E5A">
        <w:rPr>
          <w:rFonts w:ascii="Lucida Grande" w:hAnsi="Lucida Grande"/>
          <w:sz w:val="20"/>
          <w:szCs w:val="20"/>
          <w:lang w:eastAsia="it-IT"/>
        </w:rPr>
        <w:t xml:space="preserve">.  </w:t>
      </w:r>
    </w:p>
    <w:p w:rsidR="00A916BC" w:rsidRDefault="00A916B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  <w:r>
        <w:rPr>
          <w:sz w:val="20"/>
        </w:rPr>
        <w:t>The Chemistry and Molecular and Materials Science and Technology (CMMST) community</w:t>
      </w:r>
      <w:r w:rsidR="007F751A">
        <w:rPr>
          <w:sz w:val="20"/>
        </w:rPr>
        <w:t xml:space="preserve">, at present operatively supported in EGI by the COMPCHEM VO [1], </w:t>
      </w:r>
      <w:r>
        <w:rPr>
          <w:sz w:val="20"/>
        </w:rPr>
        <w:t xml:space="preserve">is developing a set of activities aimed at equipping their Computational Chemistry applications, largely based on the use of the Grid Empowered </w:t>
      </w:r>
      <w:r w:rsidR="001945B2">
        <w:rPr>
          <w:sz w:val="20"/>
        </w:rPr>
        <w:t>M</w:t>
      </w:r>
      <w:r>
        <w:rPr>
          <w:sz w:val="20"/>
        </w:rPr>
        <w:t>olecular Simulator (GEMS)</w:t>
      </w:r>
      <w:r w:rsidR="007F751A">
        <w:rPr>
          <w:sz w:val="20"/>
        </w:rPr>
        <w:t xml:space="preserve"> {2}</w:t>
      </w:r>
      <w:r>
        <w:rPr>
          <w:sz w:val="20"/>
        </w:rPr>
        <w:t>, with a set of tools facilitating interoperability between HPC and HPC platforms. Unfortunately, the adoption of different middleware</w:t>
      </w:r>
      <w:r w:rsidR="00484D56">
        <w:rPr>
          <w:sz w:val="20"/>
        </w:rPr>
        <w:t>s</w:t>
      </w:r>
      <w:r>
        <w:rPr>
          <w:sz w:val="20"/>
        </w:rPr>
        <w:t xml:space="preserve"> </w:t>
      </w:r>
      <w:r w:rsidR="007F751A">
        <w:rPr>
          <w:sz w:val="20"/>
        </w:rPr>
        <w:t xml:space="preserve">on the </w:t>
      </w:r>
      <w:r>
        <w:rPr>
          <w:sz w:val="20"/>
        </w:rPr>
        <w:t xml:space="preserve"> different platforms made,</w:t>
      </w:r>
      <w:r>
        <w:t xml:space="preserve"> </w:t>
      </w:r>
      <w:r>
        <w:rPr>
          <w:sz w:val="20"/>
        </w:rPr>
        <w:t>as matter of facts, such interoperability (and the related activit</w:t>
      </w:r>
      <w:r w:rsidR="007F751A">
        <w:rPr>
          <w:sz w:val="20"/>
        </w:rPr>
        <w:t>ies</w:t>
      </w:r>
      <w:r>
        <w:rPr>
          <w:sz w:val="20"/>
        </w:rPr>
        <w:t>) difficult to be finalized. Another crucial aspect limiting the interoperability between the two platforms is the lack of a unique point of ingress.</w:t>
      </w:r>
    </w:p>
    <w:p w:rsidR="008221EF" w:rsidRDefault="00A916B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  <w:r>
        <w:rPr>
          <w:sz w:val="20"/>
        </w:rPr>
        <w:t xml:space="preserve">Starting from this interest, the community has developed prototypical </w:t>
      </w:r>
      <w:r w:rsidR="008221EF">
        <w:rPr>
          <w:sz w:val="20"/>
        </w:rPr>
        <w:t>w</w:t>
      </w:r>
      <w:r>
        <w:rPr>
          <w:sz w:val="20"/>
        </w:rPr>
        <w:t>orkflow</w:t>
      </w:r>
      <w:r w:rsidR="008221EF">
        <w:rPr>
          <w:sz w:val="20"/>
        </w:rPr>
        <w:t>s</w:t>
      </w:r>
      <w:r>
        <w:rPr>
          <w:sz w:val="20"/>
        </w:rPr>
        <w:t xml:space="preserve"> </w:t>
      </w:r>
      <w:r w:rsidR="008221EF" w:rsidRPr="000B1E18">
        <w:rPr>
          <w:sz w:val="20"/>
        </w:rPr>
        <w:t>(here</w:t>
      </w:r>
      <w:r w:rsidR="008221EF">
        <w:rPr>
          <w:sz w:val="20"/>
        </w:rPr>
        <w:t>after called</w:t>
      </w:r>
      <w:r w:rsidR="008221EF" w:rsidRPr="000B1E18">
        <w:rPr>
          <w:sz w:val="20"/>
        </w:rPr>
        <w:t xml:space="preserve"> HTPC skeletons)</w:t>
      </w:r>
      <w:r w:rsidR="008221EF">
        <w:rPr>
          <w:sz w:val="20"/>
        </w:rPr>
        <w:t xml:space="preserve"> grouped in two main categories: </w:t>
      </w:r>
    </w:p>
    <w:p w:rsidR="008221EF" w:rsidRDefault="00484D56" w:rsidP="008221EF">
      <w:pPr>
        <w:pStyle w:val="Normale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  <w:r>
        <w:rPr>
          <w:sz w:val="20"/>
        </w:rPr>
        <w:t xml:space="preserve">HTPC1, right hand side of Fig. 1: </w:t>
      </w:r>
      <w:r w:rsidR="001945B2">
        <w:rPr>
          <w:sz w:val="20"/>
        </w:rPr>
        <w:t xml:space="preserve"> where</w:t>
      </w:r>
      <w:r w:rsidR="00D67DC0">
        <w:rPr>
          <w:sz w:val="20"/>
        </w:rPr>
        <w:t xml:space="preserve"> a</w:t>
      </w:r>
      <w:r w:rsidR="001945B2">
        <w:rPr>
          <w:sz w:val="20"/>
        </w:rPr>
        <w:t xml:space="preserve"> </w:t>
      </w:r>
      <w:r w:rsidR="00A916BC">
        <w:rPr>
          <w:sz w:val="20"/>
        </w:rPr>
        <w:t xml:space="preserve">large quantity of independent tasks </w:t>
      </w:r>
      <w:r w:rsidR="00D67DC0">
        <w:rPr>
          <w:sz w:val="20"/>
        </w:rPr>
        <w:t xml:space="preserve">run </w:t>
      </w:r>
      <w:r w:rsidR="00A916BC">
        <w:rPr>
          <w:sz w:val="20"/>
        </w:rPr>
        <w:t xml:space="preserve">on a HTC platform </w:t>
      </w:r>
      <w:r w:rsidR="00D67DC0">
        <w:rPr>
          <w:sz w:val="20"/>
        </w:rPr>
        <w:t>and their</w:t>
      </w:r>
      <w:r w:rsidR="00A916BC">
        <w:rPr>
          <w:sz w:val="20"/>
        </w:rPr>
        <w:t xml:space="preserve"> outcomes are each passed as input to a strongly coupled treatment implemented on a HPC platform </w:t>
      </w:r>
    </w:p>
    <w:p w:rsidR="0009237C" w:rsidRPr="0009237C" w:rsidRDefault="00484D56" w:rsidP="0009237C">
      <w:pPr>
        <w:pStyle w:val="Normale1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  <w:r>
        <w:rPr>
          <w:sz w:val="20"/>
        </w:rPr>
        <w:t xml:space="preserve">HTPC2, see left hand side of Fig. 1: </w:t>
      </w:r>
      <w:r w:rsidR="001945B2">
        <w:rPr>
          <w:sz w:val="20"/>
        </w:rPr>
        <w:t xml:space="preserve"> where </w:t>
      </w:r>
      <w:r w:rsidR="00D67DC0">
        <w:rPr>
          <w:sz w:val="20"/>
        </w:rPr>
        <w:t xml:space="preserve">a </w:t>
      </w:r>
      <w:r w:rsidR="00A916BC">
        <w:rPr>
          <w:sz w:val="20"/>
        </w:rPr>
        <w:t xml:space="preserve">strongly coupled </w:t>
      </w:r>
      <w:r w:rsidR="00D67DC0">
        <w:rPr>
          <w:sz w:val="20"/>
        </w:rPr>
        <w:t xml:space="preserve">task runs </w:t>
      </w:r>
      <w:r w:rsidR="00A916BC">
        <w:rPr>
          <w:sz w:val="20"/>
        </w:rPr>
        <w:t xml:space="preserve">on a HPC platform </w:t>
      </w:r>
      <w:r w:rsidR="00D67DC0">
        <w:rPr>
          <w:sz w:val="20"/>
        </w:rPr>
        <w:t>and its</w:t>
      </w:r>
      <w:r w:rsidR="00A916BC">
        <w:rPr>
          <w:sz w:val="20"/>
        </w:rPr>
        <w:t xml:space="preserve"> outcomes are passed as input to a large quantity of independent tasks </w:t>
      </w:r>
      <w:r w:rsidR="008221EF">
        <w:rPr>
          <w:sz w:val="20"/>
        </w:rPr>
        <w:t xml:space="preserve">running </w:t>
      </w:r>
      <w:r w:rsidR="00A916BC">
        <w:rPr>
          <w:sz w:val="20"/>
        </w:rPr>
        <w:t xml:space="preserve">on a HTC platform </w:t>
      </w:r>
    </w:p>
    <w:p w:rsidR="0009237C" w:rsidRPr="0009237C" w:rsidRDefault="0009237C" w:rsidP="0009237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  <w:r w:rsidRPr="0009237C">
        <w:rPr>
          <w:sz w:val="20"/>
        </w:rPr>
        <w:t xml:space="preserve">Within the EGI-XSEDE collaboration we would like to perform </w:t>
      </w:r>
      <w:r w:rsidR="0009353A" w:rsidRPr="0009353A">
        <w:rPr>
          <w:sz w:val="20"/>
        </w:rPr>
        <w:t>a feasibility study on running</w:t>
      </w:r>
      <w:r w:rsidRPr="0009237C">
        <w:rPr>
          <w:sz w:val="20"/>
        </w:rPr>
        <w:t xml:space="preserve"> </w:t>
      </w:r>
      <w:r w:rsidR="00D67DC0">
        <w:rPr>
          <w:sz w:val="20"/>
        </w:rPr>
        <w:t xml:space="preserve">such </w:t>
      </w:r>
      <w:r w:rsidRPr="0009237C">
        <w:rPr>
          <w:sz w:val="20"/>
        </w:rPr>
        <w:t xml:space="preserve">HTPC skeletons </w:t>
      </w:r>
      <w:r w:rsidR="00FA1FA8">
        <w:rPr>
          <w:sz w:val="20"/>
        </w:rPr>
        <w:t xml:space="preserve">by </w:t>
      </w:r>
      <w:r w:rsidRPr="0009237C">
        <w:rPr>
          <w:sz w:val="20"/>
        </w:rPr>
        <w:t>exploiting the two infrastructures in an automated way</w:t>
      </w:r>
      <w:r w:rsidR="00FA1FA8">
        <w:rPr>
          <w:sz w:val="20"/>
        </w:rPr>
        <w:t xml:space="preserve"> so as to</w:t>
      </w:r>
      <w:r w:rsidRPr="0009237C">
        <w:rPr>
          <w:sz w:val="20"/>
        </w:rPr>
        <w:t xml:space="preserve"> minimiz</w:t>
      </w:r>
      <w:r w:rsidR="00FA1FA8">
        <w:rPr>
          <w:sz w:val="20"/>
        </w:rPr>
        <w:t>e</w:t>
      </w:r>
      <w:r w:rsidRPr="0009237C">
        <w:rPr>
          <w:sz w:val="20"/>
        </w:rPr>
        <w:t xml:space="preserve"> the human intervention and possibly</w:t>
      </w:r>
      <w:r w:rsidR="00484D56">
        <w:rPr>
          <w:sz w:val="20"/>
        </w:rPr>
        <w:t xml:space="preserve"> develop</w:t>
      </w:r>
      <w:r w:rsidRPr="0009237C">
        <w:rPr>
          <w:sz w:val="20"/>
        </w:rPr>
        <w:t xml:space="preserve">  prototyp</w:t>
      </w:r>
      <w:r w:rsidR="001945B2">
        <w:rPr>
          <w:sz w:val="20"/>
        </w:rPr>
        <w:t>ical</w:t>
      </w:r>
      <w:r w:rsidRPr="0009237C">
        <w:rPr>
          <w:sz w:val="20"/>
        </w:rPr>
        <w:t xml:space="preserve">  tool</w:t>
      </w:r>
      <w:r w:rsidR="00FA1FA8">
        <w:rPr>
          <w:sz w:val="20"/>
        </w:rPr>
        <w:t>s</w:t>
      </w:r>
      <w:r w:rsidRPr="0009237C">
        <w:rPr>
          <w:sz w:val="20"/>
        </w:rPr>
        <w:t xml:space="preserve"> able to handle the skeletons (in both the computing and data management parts). </w:t>
      </w:r>
      <w:r w:rsidR="00FA1FA8">
        <w:rPr>
          <w:sz w:val="20"/>
        </w:rPr>
        <w:t>For this purpose w</w:t>
      </w:r>
      <w:r w:rsidRPr="0009237C">
        <w:rPr>
          <w:sz w:val="20"/>
        </w:rPr>
        <w:t xml:space="preserve">e propose a </w:t>
      </w:r>
      <w:r w:rsidR="001945B2">
        <w:rPr>
          <w:sz w:val="20"/>
        </w:rPr>
        <w:t xml:space="preserve">set </w:t>
      </w:r>
      <w:r w:rsidRPr="0009237C">
        <w:rPr>
          <w:sz w:val="20"/>
        </w:rPr>
        <w:t>of use</w:t>
      </w:r>
      <w:r w:rsidR="001945B2">
        <w:rPr>
          <w:sz w:val="20"/>
        </w:rPr>
        <w:t>-</w:t>
      </w:r>
      <w:r w:rsidRPr="0009237C">
        <w:rPr>
          <w:sz w:val="20"/>
        </w:rPr>
        <w:t xml:space="preserve">cases that provide real life requirements to this activity and can be used to operatively proof the work </w:t>
      </w:r>
      <w:r w:rsidR="00FA1FA8">
        <w:rPr>
          <w:sz w:val="20"/>
        </w:rPr>
        <w:t>performed</w:t>
      </w:r>
      <w:r w:rsidRPr="0009237C">
        <w:rPr>
          <w:sz w:val="20"/>
        </w:rPr>
        <w:t xml:space="preserve">. </w:t>
      </w:r>
    </w:p>
    <w:p w:rsidR="0009237C" w:rsidRDefault="0009237C" w:rsidP="0009237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</w:p>
    <w:p w:rsidR="00920EE6" w:rsidRDefault="00920EE6" w:rsidP="0009237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</w:p>
    <w:p w:rsidR="00920EE6" w:rsidRDefault="00920EE6" w:rsidP="0009237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</w:p>
    <w:p w:rsidR="00920EE6" w:rsidRDefault="00920EE6" w:rsidP="0009237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</w:p>
    <w:p w:rsidR="00920EE6" w:rsidRDefault="00920EE6" w:rsidP="0009237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</w:p>
    <w:p w:rsidR="00386E5A" w:rsidRPr="00386E5A" w:rsidRDefault="00386E5A" w:rsidP="0009237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  <w:r w:rsidRPr="00386E5A">
        <w:rPr>
          <w:sz w:val="20"/>
        </w:rPr>
        <w:t xml:space="preserve">[1] compchem website: </w:t>
      </w:r>
      <w:r w:rsidRPr="00386E5A">
        <w:rPr>
          <w:rStyle w:val="HTMLCite"/>
          <w:i w:val="0"/>
          <w:sz w:val="20"/>
        </w:rPr>
        <w:t>www3.</w:t>
      </w:r>
      <w:r w:rsidRPr="00386E5A">
        <w:rPr>
          <w:rStyle w:val="HTMLCite"/>
          <w:bCs/>
          <w:i w:val="0"/>
          <w:sz w:val="20"/>
        </w:rPr>
        <w:t>compchem</w:t>
      </w:r>
      <w:r w:rsidRPr="00386E5A">
        <w:rPr>
          <w:rStyle w:val="HTMLCite"/>
          <w:i w:val="0"/>
          <w:sz w:val="20"/>
        </w:rPr>
        <w:t>.unipg.it/</w:t>
      </w:r>
      <w:r w:rsidRPr="00386E5A">
        <w:rPr>
          <w:rStyle w:val="std"/>
          <w:sz w:val="20"/>
        </w:rPr>
        <w:t> </w:t>
      </w:r>
    </w:p>
    <w:p w:rsidR="00386E5A" w:rsidRPr="00386E5A" w:rsidRDefault="00386E5A" w:rsidP="00386E5A">
      <w:pPr>
        <w:pStyle w:val="NormalWeb"/>
        <w:spacing w:before="0" w:beforeAutospacing="0" w:after="0"/>
        <w:rPr>
          <w:rFonts w:ascii="Lucida Grande" w:eastAsia="ヒラギノ角ゴ Pro W3" w:hAnsi="Lucida Grande"/>
          <w:color w:val="000000"/>
          <w:lang w:val="en-US"/>
        </w:rPr>
      </w:pPr>
      <w:r w:rsidRPr="00386E5A">
        <w:rPr>
          <w:rFonts w:ascii="Lucida Grande" w:eastAsia="ヒラギノ角ゴ Pro W3" w:hAnsi="Lucida Grande"/>
          <w:color w:val="000000"/>
          <w:lang w:val="en-US"/>
        </w:rPr>
        <w:t xml:space="preserve">[2] </w:t>
      </w:r>
      <w:r>
        <w:rPr>
          <w:rFonts w:ascii="Lucida Grande" w:eastAsia="ヒラギノ角ゴ Pro W3" w:hAnsi="Lucida Grande"/>
          <w:color w:val="000000"/>
          <w:lang w:val="en-US"/>
        </w:rPr>
        <w:t>Laganà et al</w:t>
      </w:r>
      <w:r w:rsidRPr="00484D56">
        <w:rPr>
          <w:rFonts w:ascii="Lucida Grande" w:eastAsia="ヒラギノ角ゴ Pro W3" w:hAnsi="Lucida Grande"/>
          <w:lang w:val="en-US"/>
        </w:rPr>
        <w:t xml:space="preserve">, J. of </w:t>
      </w:r>
      <w:r w:rsidRPr="00386E5A">
        <w:rPr>
          <w:rFonts w:ascii="Lucida Grande" w:eastAsia="ヒラギノ角ゴ Pro W3" w:hAnsi="Lucida Grande"/>
          <w:color w:val="000000"/>
          <w:lang w:val="en-US"/>
        </w:rPr>
        <w:t>Grid</w:t>
      </w:r>
      <w:r w:rsidRPr="00484D56">
        <w:rPr>
          <w:rFonts w:ascii="Lucida Grande" w:eastAsia="ヒラギノ角ゴ Pro W3" w:hAnsi="Lucida Grande"/>
          <w:lang w:val="en-US"/>
        </w:rPr>
        <w:t xml:space="preserve"> Computing</w:t>
      </w:r>
      <w:r w:rsidRPr="00386E5A">
        <w:rPr>
          <w:rFonts w:ascii="Lucida Grande" w:eastAsia="ヒラギノ角ゴ Pro W3" w:hAnsi="Lucida Grande"/>
          <w:color w:val="000000"/>
          <w:lang w:val="en-US"/>
        </w:rPr>
        <w:t xml:space="preserve"> Vol. 8, No. 4, </w:t>
      </w:r>
      <w:r w:rsidRPr="00484D56">
        <w:rPr>
          <w:rFonts w:ascii="Lucida Grande" w:eastAsia="ヒラギノ角ゴ Pro W3" w:hAnsi="Lucida Grande"/>
          <w:lang w:val="en-US"/>
        </w:rPr>
        <w:t xml:space="preserve">571-586, (2010) </w:t>
      </w:r>
    </w:p>
    <w:p w:rsidR="00A916BC" w:rsidRDefault="00A916B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sz w:val="20"/>
        </w:rPr>
      </w:pPr>
    </w:p>
    <w:p w:rsidR="00A916BC" w:rsidRDefault="00406CF2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234440" cy="1744980"/>
            <wp:effectExtent l="19050" t="0" r="3810" b="0"/>
            <wp:docPr id="2" name="Picture 2" descr="htp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p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104900" cy="1752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526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BC" w:rsidRDefault="00A916B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rPr>
          <w:sz w:val="20"/>
        </w:rPr>
      </w:pPr>
      <w:r>
        <w:rPr>
          <w:sz w:val="20"/>
        </w:rPr>
        <w:t>Fig. 1 – HTPC Skeletons: HTC computation following a HPC one</w:t>
      </w:r>
      <w:r w:rsidR="0009237C">
        <w:rPr>
          <w:sz w:val="20"/>
        </w:rPr>
        <w:t>s</w:t>
      </w:r>
      <w:r>
        <w:rPr>
          <w:sz w:val="20"/>
        </w:rPr>
        <w:t xml:space="preserve"> (left hand </w:t>
      </w:r>
    </w:p>
    <w:p w:rsidR="00A916BC" w:rsidRDefault="0009237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304"/>
        <w:rPr>
          <w:sz w:val="20"/>
        </w:rPr>
      </w:pPr>
      <w:r>
        <w:rPr>
          <w:sz w:val="20"/>
        </w:rPr>
        <w:t>S</w:t>
      </w:r>
      <w:r w:rsidR="00A916BC">
        <w:rPr>
          <w:sz w:val="20"/>
        </w:rPr>
        <w:t>ide</w:t>
      </w:r>
      <w:r>
        <w:rPr>
          <w:sz w:val="20"/>
        </w:rPr>
        <w:t xml:space="preserve"> HTPC1</w:t>
      </w:r>
      <w:r w:rsidR="00A916BC">
        <w:rPr>
          <w:sz w:val="20"/>
        </w:rPr>
        <w:t>) and HPC computation following a HTC one (right hand side</w:t>
      </w:r>
      <w:r>
        <w:rPr>
          <w:sz w:val="20"/>
        </w:rPr>
        <w:t xml:space="preserve"> HTPC2</w:t>
      </w:r>
      <w:r w:rsidR="00A916BC">
        <w:rPr>
          <w:sz w:val="20"/>
        </w:rPr>
        <w:t>).</w:t>
      </w:r>
    </w:p>
    <w:p w:rsidR="00A916BC" w:rsidRDefault="00A916B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b/>
          <w:sz w:val="20"/>
        </w:rPr>
      </w:pPr>
    </w:p>
    <w:p w:rsidR="00A916BC" w:rsidRDefault="00A916B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b/>
          <w:sz w:val="20"/>
        </w:rPr>
      </w:pPr>
    </w:p>
    <w:p w:rsidR="00A916BC" w:rsidRDefault="00A916BC">
      <w:pPr>
        <w:pStyle w:val="Normale1"/>
        <w:numPr>
          <w:ilvl w:val="0"/>
          <w:numId w:val="1"/>
        </w:numPr>
        <w:tabs>
          <w:tab w:val="clear" w:pos="555"/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0" w:hanging="555"/>
        <w:jc w:val="both"/>
        <w:rPr>
          <w:b/>
          <w:sz w:val="20"/>
        </w:rPr>
      </w:pPr>
      <w:r>
        <w:rPr>
          <w:b/>
          <w:sz w:val="20"/>
        </w:rPr>
        <w:t>Collaborative teams</w:t>
      </w:r>
    </w:p>
    <w:p w:rsidR="00A916BC" w:rsidRDefault="00A916BC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360"/>
        <w:jc w:val="both"/>
        <w:rPr>
          <w:b/>
          <w:sz w:val="20"/>
        </w:rPr>
      </w:pPr>
    </w:p>
    <w:p w:rsidR="0052337F" w:rsidRDefault="00A916BC">
      <w:pPr>
        <w:pStyle w:val="Normale1"/>
        <w:spacing w:after="0"/>
        <w:jc w:val="both"/>
        <w:rPr>
          <w:sz w:val="20"/>
        </w:rPr>
      </w:pPr>
      <w:r>
        <w:rPr>
          <w:sz w:val="20"/>
        </w:rPr>
        <w:t xml:space="preserve">To implement its activities the CMMST Community is collaborating with several actors both in Europe and US. </w:t>
      </w:r>
      <w:r w:rsidR="0009237C">
        <w:rPr>
          <w:sz w:val="20"/>
        </w:rPr>
        <w:t xml:space="preserve">On </w:t>
      </w:r>
      <w:r>
        <w:rPr>
          <w:sz w:val="20"/>
        </w:rPr>
        <w:t>the Europe</w:t>
      </w:r>
      <w:r w:rsidR="0009237C">
        <w:rPr>
          <w:sz w:val="20"/>
        </w:rPr>
        <w:t>an</w:t>
      </w:r>
      <w:r>
        <w:rPr>
          <w:sz w:val="20"/>
        </w:rPr>
        <w:t xml:space="preserve"> side the Community is interacting with the already mentioned COMPCHEM VO with the support of many NGIs (in particular the Italian NGI which is providing support and resources). </w:t>
      </w:r>
      <w:r w:rsidR="000D1699">
        <w:rPr>
          <w:sz w:val="20"/>
        </w:rPr>
        <w:t xml:space="preserve"> On</w:t>
      </w:r>
      <w:r w:rsidR="00484D56">
        <w:rPr>
          <w:sz w:val="20"/>
        </w:rPr>
        <w:t xml:space="preserve"> </w:t>
      </w:r>
      <w:r w:rsidRPr="00EA5C1A">
        <w:rPr>
          <w:sz w:val="20"/>
        </w:rPr>
        <w:t>the US side the Community is interacting with</w:t>
      </w:r>
      <w:r w:rsidR="00EA5C1A" w:rsidRPr="00EA5C1A">
        <w:rPr>
          <w:sz w:val="20"/>
        </w:rPr>
        <w:t xml:space="preserve"> the Chemical Dynamics group at the Department of Chemistry and Biochemistry (specialized in classical, semi-classical, and quantum mechanical methods applied to chemical reactions at an atomistic level)</w:t>
      </w:r>
      <w:r w:rsidR="007F7355">
        <w:rPr>
          <w:sz w:val="20"/>
        </w:rPr>
        <w:t xml:space="preserve"> which have developed the VENUS package</w:t>
      </w:r>
      <w:r w:rsidR="00EA5C1A" w:rsidRPr="00EA5C1A">
        <w:rPr>
          <w:sz w:val="20"/>
        </w:rPr>
        <w:t xml:space="preserve"> and the High Performance Computing Center both at Texas Tech University</w:t>
      </w:r>
      <w:r w:rsidR="00EA5C1A">
        <w:rPr>
          <w:sz w:val="20"/>
        </w:rPr>
        <w:t>.</w:t>
      </w:r>
      <w:r w:rsidR="0052337F">
        <w:rPr>
          <w:sz w:val="20"/>
        </w:rPr>
        <w:t xml:space="preserve"> </w:t>
      </w:r>
    </w:p>
    <w:p w:rsidR="00A916BC" w:rsidRPr="00EA5C1A" w:rsidRDefault="0052337F">
      <w:pPr>
        <w:pStyle w:val="Normale1"/>
        <w:spacing w:after="0"/>
        <w:jc w:val="both"/>
        <w:rPr>
          <w:sz w:val="20"/>
        </w:rPr>
      </w:pPr>
      <w:r>
        <w:rPr>
          <w:sz w:val="20"/>
        </w:rPr>
        <w:t>Appendix A lists the people involved in this collaboration.</w:t>
      </w:r>
    </w:p>
    <w:p w:rsidR="00A916BC" w:rsidRDefault="00A916BC">
      <w:pPr>
        <w:pStyle w:val="Normale1"/>
        <w:spacing w:after="0"/>
        <w:jc w:val="both"/>
        <w:rPr>
          <w:sz w:val="20"/>
        </w:rPr>
      </w:pPr>
    </w:p>
    <w:p w:rsidR="00A916BC" w:rsidRDefault="00A916BC">
      <w:pPr>
        <w:pStyle w:val="Normale1"/>
        <w:tabs>
          <w:tab w:val="left" w:pos="0"/>
        </w:tabs>
        <w:spacing w:after="60"/>
        <w:jc w:val="both"/>
        <w:rPr>
          <w:sz w:val="20"/>
        </w:rPr>
      </w:pPr>
    </w:p>
    <w:p w:rsidR="00A916BC" w:rsidRDefault="00A916BC">
      <w:pPr>
        <w:pStyle w:val="Normale1"/>
        <w:numPr>
          <w:ilvl w:val="0"/>
          <w:numId w:val="1"/>
        </w:numPr>
        <w:tabs>
          <w:tab w:val="clear" w:pos="555"/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0" w:hanging="555"/>
        <w:jc w:val="both"/>
        <w:rPr>
          <w:b/>
          <w:sz w:val="20"/>
        </w:rPr>
      </w:pPr>
      <w:r>
        <w:rPr>
          <w:b/>
          <w:sz w:val="20"/>
        </w:rPr>
        <w:t>Proposed usecases</w:t>
      </w:r>
    </w:p>
    <w:p w:rsidR="00A916BC" w:rsidRDefault="00A916BC">
      <w:pPr>
        <w:pStyle w:val="Normale1"/>
        <w:tabs>
          <w:tab w:val="left" w:pos="360"/>
          <w:tab w:val="left" w:pos="720"/>
        </w:tabs>
        <w:spacing w:after="0"/>
        <w:jc w:val="both"/>
        <w:rPr>
          <w:sz w:val="20"/>
        </w:rPr>
      </w:pPr>
    </w:p>
    <w:p w:rsidR="00A916BC" w:rsidRDefault="0009237C">
      <w:pPr>
        <w:pStyle w:val="Normale1"/>
        <w:tabs>
          <w:tab w:val="left" w:pos="360"/>
          <w:tab w:val="left" w:pos="720"/>
        </w:tabs>
        <w:spacing w:after="0"/>
        <w:jc w:val="both"/>
        <w:rPr>
          <w:sz w:val="20"/>
        </w:rPr>
      </w:pPr>
      <w:r>
        <w:rPr>
          <w:sz w:val="20"/>
        </w:rPr>
        <w:t xml:space="preserve">The </w:t>
      </w:r>
      <w:r w:rsidR="00A916BC">
        <w:rPr>
          <w:sz w:val="20"/>
        </w:rPr>
        <w:t xml:space="preserve">selected use-cases currently used by some members of the Community are presented </w:t>
      </w:r>
      <w:r>
        <w:rPr>
          <w:sz w:val="20"/>
        </w:rPr>
        <w:t xml:space="preserve">in this section </w:t>
      </w:r>
      <w:r w:rsidR="00A916BC">
        <w:rPr>
          <w:sz w:val="20"/>
        </w:rPr>
        <w:t xml:space="preserve">and a summary table </w:t>
      </w:r>
      <w:r w:rsidR="00386E5A">
        <w:rPr>
          <w:sz w:val="20"/>
        </w:rPr>
        <w:t xml:space="preserve">(see Tab. 1) </w:t>
      </w:r>
      <w:r w:rsidR="00A916BC">
        <w:rPr>
          <w:sz w:val="20"/>
        </w:rPr>
        <w:t>highlighting the application used and their computational requirements is given.</w:t>
      </w:r>
    </w:p>
    <w:p w:rsidR="00A916BC" w:rsidRDefault="00A916BC">
      <w:pPr>
        <w:pStyle w:val="Normale1"/>
        <w:tabs>
          <w:tab w:val="left" w:pos="360"/>
          <w:tab w:val="left" w:pos="720"/>
        </w:tabs>
        <w:spacing w:after="0"/>
        <w:jc w:val="both"/>
        <w:rPr>
          <w:sz w:val="20"/>
        </w:rPr>
      </w:pPr>
    </w:p>
    <w:p w:rsidR="007F7355" w:rsidRDefault="00A916BC" w:rsidP="00D325C8">
      <w:pPr>
        <w:pStyle w:val="Normale1"/>
        <w:numPr>
          <w:ilvl w:val="1"/>
          <w:numId w:val="3"/>
        </w:numPr>
        <w:tabs>
          <w:tab w:val="clear" w:pos="190"/>
          <w:tab w:val="num" w:pos="360"/>
          <w:tab w:val="left" w:pos="720"/>
        </w:tabs>
        <w:spacing w:after="120"/>
        <w:ind w:left="527" w:hanging="357"/>
        <w:jc w:val="both"/>
        <w:rPr>
          <w:sz w:val="20"/>
        </w:rPr>
      </w:pPr>
      <w:r>
        <w:rPr>
          <w:sz w:val="20"/>
        </w:rPr>
        <w:t xml:space="preserve"> </w:t>
      </w:r>
      <w:r w:rsidR="007F7355" w:rsidRPr="0011125F">
        <w:rPr>
          <w:sz w:val="20"/>
        </w:rPr>
        <w:t>Exact quantum dynam</w:t>
      </w:r>
      <w:r w:rsidR="007F7355">
        <w:rPr>
          <w:sz w:val="20"/>
        </w:rPr>
        <w:t>ics calculations for</w:t>
      </w:r>
      <w:r w:rsidR="007F7355" w:rsidRPr="0011125F">
        <w:rPr>
          <w:sz w:val="20"/>
        </w:rPr>
        <w:t xml:space="preserve"> Li + FH</w:t>
      </w:r>
      <w:r w:rsidR="00FA1FA8">
        <w:rPr>
          <w:sz w:val="20"/>
        </w:rPr>
        <w:t xml:space="preserve"> (HTPC2)</w:t>
      </w:r>
    </w:p>
    <w:p w:rsidR="00D325C8" w:rsidRDefault="007F7355" w:rsidP="007F7355">
      <w:pPr>
        <w:pStyle w:val="Normale1"/>
        <w:tabs>
          <w:tab w:val="left" w:pos="720"/>
        </w:tabs>
        <w:spacing w:after="120"/>
        <w:ind w:left="170"/>
        <w:jc w:val="both"/>
        <w:rPr>
          <w:sz w:val="20"/>
        </w:rPr>
      </w:pPr>
      <w:r w:rsidRPr="007F7355">
        <w:rPr>
          <w:sz w:val="20"/>
        </w:rPr>
        <w:t>Exact quantum dynamics calculations on the reaction Li + FH -&gt; LiF + H require the nuclei wavefunction to be expanded in a suitable basis set parametrically dependent on a molecular geometry coordinate expressing the advance of the reacti</w:t>
      </w:r>
      <w:r>
        <w:rPr>
          <w:sz w:val="20"/>
        </w:rPr>
        <w:t>ve process</w:t>
      </w:r>
      <w:r w:rsidRPr="007F7355">
        <w:rPr>
          <w:sz w:val="20"/>
        </w:rPr>
        <w:t>. Within the ABC program, firstly very large matrices are calculated (HPC section</w:t>
      </w:r>
      <w:r>
        <w:rPr>
          <w:sz w:val="20"/>
        </w:rPr>
        <w:t>)</w:t>
      </w:r>
      <w:r w:rsidRPr="007F7355">
        <w:rPr>
          <w:sz w:val="20"/>
        </w:rPr>
        <w:t>, then independent fixed E (scattering energy) and J (total angular momentum quantum number) propagations are distributed (HTC section).</w:t>
      </w:r>
    </w:p>
    <w:p w:rsidR="00D325C8" w:rsidRDefault="00D325C8" w:rsidP="00D325C8">
      <w:pPr>
        <w:pStyle w:val="Normale1"/>
        <w:numPr>
          <w:ilvl w:val="1"/>
          <w:numId w:val="3"/>
        </w:numPr>
        <w:tabs>
          <w:tab w:val="clear" w:pos="190"/>
          <w:tab w:val="num" w:pos="360"/>
          <w:tab w:val="left" w:pos="720"/>
        </w:tabs>
        <w:spacing w:after="120"/>
        <w:ind w:left="527" w:hanging="357"/>
        <w:jc w:val="both"/>
        <w:rPr>
          <w:sz w:val="20"/>
        </w:rPr>
      </w:pPr>
      <w:r>
        <w:rPr>
          <w:sz w:val="20"/>
        </w:rPr>
        <w:t>Exact dynamics of nuclear and electonic systems within cavities</w:t>
      </w:r>
      <w:r w:rsidR="00FA1FA8">
        <w:rPr>
          <w:sz w:val="20"/>
        </w:rPr>
        <w:t xml:space="preserve"> (HTPC2)</w:t>
      </w:r>
    </w:p>
    <w:p w:rsidR="00D325C8" w:rsidRPr="00D325C8" w:rsidRDefault="00D325C8" w:rsidP="00D325C8">
      <w:pPr>
        <w:pStyle w:val="Normale1"/>
        <w:tabs>
          <w:tab w:val="left" w:pos="720"/>
        </w:tabs>
        <w:spacing w:after="120"/>
        <w:ind w:left="284"/>
        <w:jc w:val="both"/>
        <w:rPr>
          <w:sz w:val="20"/>
        </w:rPr>
      </w:pPr>
      <w:r w:rsidRPr="00D325C8">
        <w:rPr>
          <w:sz w:val="20"/>
        </w:rPr>
        <w:t xml:space="preserve">The dynamics of closely coupled confined systems are going to be studied through the use of the MCTDH scheme, in particular the exact dynamics of electronic and/or nuclear systems within cavities. The high number of coupled degrees of freedom necessitates </w:t>
      </w:r>
      <w:r w:rsidR="00FA1FA8">
        <w:rPr>
          <w:sz w:val="20"/>
        </w:rPr>
        <w:t xml:space="preserve">first </w:t>
      </w:r>
      <w:r w:rsidRPr="00D325C8">
        <w:rPr>
          <w:sz w:val="20"/>
        </w:rPr>
        <w:t xml:space="preserve">HPC, while the possibility of running many jobs with different initial conditions points </w:t>
      </w:r>
      <w:r w:rsidR="00554291">
        <w:rPr>
          <w:sz w:val="20"/>
        </w:rPr>
        <w:t xml:space="preserve">then </w:t>
      </w:r>
      <w:r w:rsidRPr="00D325C8">
        <w:rPr>
          <w:sz w:val="20"/>
        </w:rPr>
        <w:t>towards the HTC requirement.</w:t>
      </w:r>
    </w:p>
    <w:p w:rsidR="00A916BC" w:rsidRDefault="00A916BC">
      <w:pPr>
        <w:pStyle w:val="Normale1"/>
        <w:numPr>
          <w:ilvl w:val="1"/>
          <w:numId w:val="3"/>
        </w:numPr>
        <w:tabs>
          <w:tab w:val="clear" w:pos="190"/>
          <w:tab w:val="num" w:pos="360"/>
          <w:tab w:val="left" w:pos="720"/>
        </w:tabs>
        <w:spacing w:after="120"/>
        <w:ind w:left="527" w:hanging="357"/>
        <w:jc w:val="both"/>
        <w:rPr>
          <w:sz w:val="20"/>
        </w:rPr>
      </w:pPr>
      <w:r>
        <w:t xml:space="preserve">  </w:t>
      </w:r>
      <w:r>
        <w:rPr>
          <w:sz w:val="20"/>
        </w:rPr>
        <w:t>Ab initio calculations for N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N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system</w:t>
      </w:r>
      <w:r w:rsidR="00554291">
        <w:rPr>
          <w:sz w:val="20"/>
        </w:rPr>
        <w:t xml:space="preserve"> (HTPC1)</w:t>
      </w:r>
    </w:p>
    <w:p w:rsidR="00A916BC" w:rsidRDefault="00A916BC">
      <w:pPr>
        <w:pStyle w:val="Normale1"/>
        <w:tabs>
          <w:tab w:val="left" w:pos="360"/>
        </w:tabs>
        <w:spacing w:after="0"/>
        <w:ind w:left="284"/>
        <w:jc w:val="both"/>
        <w:rPr>
          <w:sz w:val="20"/>
        </w:rPr>
      </w:pPr>
      <w:r>
        <w:rPr>
          <w:sz w:val="20"/>
        </w:rPr>
        <w:t>The General Atomic and Molecular Electronic Structure System, is a general ab initio quantum chemistry package. Our work is focused on the calculation of a large number of electronic energy values for different nuclear geometries of the N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N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system, using the CCSD(T) and MRPT2 methods implemented in GAMESS-US. </w:t>
      </w:r>
      <w:r w:rsidR="00554291">
        <w:rPr>
          <w:sz w:val="20"/>
        </w:rPr>
        <w:t xml:space="preserve">In this scheme preliminary calculations of the electronic structure can be run on HTC nodes while the CCSDT(T) and the MRPT2 codes have to be run on HPC nodes. </w:t>
      </w:r>
      <w:r>
        <w:rPr>
          <w:sz w:val="20"/>
        </w:rPr>
        <w:t xml:space="preserve">Ab initio electronic energy values will be used for building a global Potential Energy Surface to be used in quasi-classical or </w:t>
      </w:r>
      <w:r>
        <w:rPr>
          <w:sz w:val="20"/>
        </w:rPr>
        <w:lastRenderedPageBreak/>
        <w:t>classical dynamics calculations.</w:t>
      </w:r>
    </w:p>
    <w:p w:rsidR="00920EE6" w:rsidRDefault="00920EE6">
      <w:pPr>
        <w:pStyle w:val="Normale1"/>
        <w:tabs>
          <w:tab w:val="left" w:pos="360"/>
        </w:tabs>
        <w:spacing w:after="0"/>
        <w:ind w:left="284"/>
        <w:jc w:val="both"/>
        <w:rPr>
          <w:sz w:val="20"/>
        </w:rPr>
      </w:pPr>
    </w:p>
    <w:p w:rsidR="00A916BC" w:rsidRDefault="00A916BC">
      <w:pPr>
        <w:pStyle w:val="Normale1"/>
        <w:numPr>
          <w:ilvl w:val="1"/>
          <w:numId w:val="3"/>
        </w:numPr>
        <w:tabs>
          <w:tab w:val="clear" w:pos="190"/>
          <w:tab w:val="num" w:pos="360"/>
          <w:tab w:val="left" w:pos="720"/>
        </w:tabs>
        <w:spacing w:before="120" w:after="0"/>
        <w:ind w:left="527" w:hanging="357"/>
        <w:jc w:val="both"/>
        <w:rPr>
          <w:sz w:val="20"/>
        </w:rPr>
      </w:pPr>
      <w:r>
        <w:t xml:space="preserve">  </w:t>
      </w:r>
      <w:r>
        <w:rPr>
          <w:sz w:val="20"/>
        </w:rPr>
        <w:t>Molecular Dynamics simulations of CTN</w:t>
      </w:r>
      <w:r w:rsidR="00554291">
        <w:rPr>
          <w:sz w:val="20"/>
        </w:rPr>
        <w:t xml:space="preserve"> (HTPC1)</w:t>
      </w:r>
    </w:p>
    <w:p w:rsidR="00A916BC" w:rsidRDefault="00A916BC">
      <w:pPr>
        <w:pStyle w:val="Normale1"/>
        <w:tabs>
          <w:tab w:val="left" w:pos="360"/>
        </w:tabs>
        <w:spacing w:before="120" w:after="0"/>
        <w:ind w:left="284"/>
        <w:jc w:val="both"/>
        <w:rPr>
          <w:sz w:val="20"/>
        </w:rPr>
      </w:pPr>
      <w:r>
        <w:rPr>
          <w:sz w:val="20"/>
        </w:rPr>
        <w:t>Molecular Dynamics simulations using DLPOLY software to study the hydrogen storage in single and bundles walled carbon nanotubes (CNT)</w:t>
      </w:r>
      <w:r w:rsidR="00554291">
        <w:rPr>
          <w:sz w:val="20"/>
        </w:rPr>
        <w:t xml:space="preserve"> </w:t>
      </w:r>
      <w:r>
        <w:rPr>
          <w:sz w:val="20"/>
        </w:rPr>
        <w:t xml:space="preserve">of various diameters and chiralities </w:t>
      </w:r>
      <w:r w:rsidR="00554291">
        <w:rPr>
          <w:sz w:val="20"/>
        </w:rPr>
        <w:t>(whose determination can run on HTC nodes) run subsequently</w:t>
      </w:r>
      <w:r>
        <w:rPr>
          <w:sz w:val="20"/>
        </w:rPr>
        <w:t xml:space="preserve"> a force field </w:t>
      </w:r>
      <w:r w:rsidR="00554291">
        <w:rPr>
          <w:sz w:val="20"/>
        </w:rPr>
        <w:t>dynamical calculation</w:t>
      </w:r>
      <w:r w:rsidR="00994BE7">
        <w:rPr>
          <w:sz w:val="20"/>
        </w:rPr>
        <w:t xml:space="preserve"> </w:t>
      </w:r>
      <w:r>
        <w:rPr>
          <w:sz w:val="20"/>
        </w:rPr>
        <w:t>that take</w:t>
      </w:r>
      <w:r w:rsidR="00554291">
        <w:rPr>
          <w:sz w:val="20"/>
        </w:rPr>
        <w:t>s</w:t>
      </w:r>
      <w:r>
        <w:rPr>
          <w:sz w:val="20"/>
        </w:rPr>
        <w:t xml:space="preserve"> into account all possible interaction between H-CNT and CNT-CNT ones</w:t>
      </w:r>
      <w:r w:rsidR="00994BE7">
        <w:rPr>
          <w:sz w:val="20"/>
        </w:rPr>
        <w:t xml:space="preserve"> and has HPC reuqirements</w:t>
      </w:r>
      <w:r>
        <w:rPr>
          <w:sz w:val="20"/>
        </w:rPr>
        <w:t xml:space="preserve">. The </w:t>
      </w:r>
      <w:r w:rsidR="00994BE7">
        <w:rPr>
          <w:sz w:val="20"/>
        </w:rPr>
        <w:t xml:space="preserve">considered use case is concerned with the </w:t>
      </w:r>
      <w:r w:rsidR="00920EE6">
        <w:rPr>
          <w:sz w:val="20"/>
        </w:rPr>
        <w:t>f</w:t>
      </w:r>
      <w:r>
        <w:rPr>
          <w:sz w:val="20"/>
        </w:rPr>
        <w:t xml:space="preserve">orce </w:t>
      </w:r>
      <w:r w:rsidR="00920EE6">
        <w:rPr>
          <w:sz w:val="20"/>
        </w:rPr>
        <w:t>field</w:t>
      </w:r>
      <w:r>
        <w:rPr>
          <w:sz w:val="20"/>
        </w:rPr>
        <w:t xml:space="preserve"> for the H2 </w:t>
      </w:r>
      <w:r w:rsidR="00994BE7">
        <w:rPr>
          <w:sz w:val="20"/>
        </w:rPr>
        <w:t>(</w:t>
      </w:r>
      <w:r w:rsidR="00920EE6">
        <w:rPr>
          <w:sz w:val="20"/>
        </w:rPr>
        <w:t xml:space="preserve">fully </w:t>
      </w:r>
      <w:r>
        <w:rPr>
          <w:sz w:val="20"/>
        </w:rPr>
        <w:t>describ</w:t>
      </w:r>
      <w:r w:rsidR="00920EE6">
        <w:rPr>
          <w:sz w:val="20"/>
        </w:rPr>
        <w:t>ing</w:t>
      </w:r>
      <w:r>
        <w:rPr>
          <w:sz w:val="20"/>
        </w:rPr>
        <w:t xml:space="preserve"> the interaction </w:t>
      </w:r>
      <w:r w:rsidR="00920EE6">
        <w:rPr>
          <w:sz w:val="20"/>
        </w:rPr>
        <w:t xml:space="preserve">with </w:t>
      </w:r>
      <w:r>
        <w:rPr>
          <w:sz w:val="20"/>
        </w:rPr>
        <w:t>a three body potential</w:t>
      </w:r>
      <w:r w:rsidR="00994BE7">
        <w:rPr>
          <w:sz w:val="20"/>
        </w:rPr>
        <w:t>)</w:t>
      </w:r>
      <w:r>
        <w:rPr>
          <w:sz w:val="20"/>
        </w:rPr>
        <w:t xml:space="preserve"> </w:t>
      </w:r>
      <w:r w:rsidR="00920EE6">
        <w:rPr>
          <w:sz w:val="20"/>
        </w:rPr>
        <w:t>requires high CPU power and memory</w:t>
      </w:r>
      <w:r w:rsidR="00994BE7">
        <w:rPr>
          <w:sz w:val="20"/>
        </w:rPr>
        <w:t xml:space="preserve"> when investigating the storage of hydrogen in CNT</w:t>
      </w:r>
      <w:r>
        <w:rPr>
          <w:sz w:val="20"/>
        </w:rPr>
        <w:t xml:space="preserve">.  </w:t>
      </w:r>
      <w:r>
        <w:rPr>
          <w:sz w:val="20"/>
        </w:rPr>
        <w:cr/>
      </w:r>
    </w:p>
    <w:p w:rsidR="0009353A" w:rsidRDefault="0009353A" w:rsidP="009F0590">
      <w:pPr>
        <w:pStyle w:val="Normale1"/>
        <w:numPr>
          <w:ilvl w:val="1"/>
          <w:numId w:val="3"/>
        </w:numPr>
        <w:tabs>
          <w:tab w:val="clear" w:pos="190"/>
          <w:tab w:val="num" w:pos="360"/>
          <w:tab w:val="left" w:pos="720"/>
        </w:tabs>
        <w:spacing w:before="120" w:after="0"/>
        <w:ind w:left="527" w:hanging="357"/>
        <w:jc w:val="both"/>
        <w:rPr>
          <w:sz w:val="20"/>
        </w:rPr>
      </w:pPr>
      <w:r w:rsidRPr="0009353A">
        <w:rPr>
          <w:sz w:val="20"/>
        </w:rPr>
        <w:t xml:space="preserve"> Ab initio and classical MD simulations</w:t>
      </w:r>
      <w:r w:rsidR="00920EE6">
        <w:rPr>
          <w:sz w:val="20"/>
        </w:rPr>
        <w:t xml:space="preserve"> </w:t>
      </w:r>
      <w:r w:rsidRPr="0009353A">
        <w:rPr>
          <w:sz w:val="20"/>
        </w:rPr>
        <w:t>in micropourus materials</w:t>
      </w:r>
      <w:r w:rsidR="00994BE7">
        <w:rPr>
          <w:sz w:val="20"/>
        </w:rPr>
        <w:t xml:space="preserve"> (HTPC2)</w:t>
      </w:r>
    </w:p>
    <w:p w:rsidR="0009353A" w:rsidRDefault="0009353A" w:rsidP="0009353A">
      <w:pPr>
        <w:pStyle w:val="Normale1"/>
        <w:tabs>
          <w:tab w:val="left" w:pos="720"/>
        </w:tabs>
        <w:spacing w:before="120" w:after="0"/>
        <w:ind w:left="527"/>
        <w:jc w:val="both"/>
        <w:rPr>
          <w:sz w:val="20"/>
        </w:rPr>
      </w:pPr>
    </w:p>
    <w:p w:rsidR="00DD64D1" w:rsidRDefault="0009353A" w:rsidP="0009353A">
      <w:pPr>
        <w:pStyle w:val="Normale1"/>
        <w:tabs>
          <w:tab w:val="left" w:pos="720"/>
        </w:tabs>
        <w:spacing w:after="0"/>
        <w:ind w:left="284"/>
        <w:jc w:val="both"/>
        <w:rPr>
          <w:sz w:val="20"/>
        </w:rPr>
      </w:pPr>
      <w:r w:rsidRPr="0009353A">
        <w:rPr>
          <w:sz w:val="20"/>
        </w:rPr>
        <w:t>This project aims at developing reliable force fields for classical Molecular Dynamics (MD) simulations in microporous materials. These force fields will be derived starting from high quality ab-initio computations</w:t>
      </w:r>
      <w:r w:rsidR="00D325C8">
        <w:rPr>
          <w:sz w:val="20"/>
        </w:rPr>
        <w:t xml:space="preserve"> (CP2K)</w:t>
      </w:r>
      <w:r w:rsidRPr="0009353A">
        <w:rPr>
          <w:sz w:val="20"/>
        </w:rPr>
        <w:t>, requiring a large amount of resources available in HPC environment. The following classical MD simulations</w:t>
      </w:r>
      <w:r w:rsidR="00D325C8">
        <w:rPr>
          <w:sz w:val="20"/>
        </w:rPr>
        <w:t xml:space="preserve"> (NAMD)</w:t>
      </w:r>
      <w:r w:rsidRPr="0009353A">
        <w:rPr>
          <w:sz w:val="20"/>
        </w:rPr>
        <w:t xml:space="preserve">, instead, are suitable for HTC environment: requiring less density of computational resources but a </w:t>
      </w:r>
      <w:r w:rsidR="00994BE7">
        <w:rPr>
          <w:sz w:val="20"/>
        </w:rPr>
        <w:t>larg</w:t>
      </w:r>
      <w:r w:rsidRPr="0009353A">
        <w:rPr>
          <w:sz w:val="20"/>
        </w:rPr>
        <w:t>er number of independent runs.</w:t>
      </w:r>
    </w:p>
    <w:p w:rsidR="00DD64D1" w:rsidRDefault="00DD64D1" w:rsidP="0009353A">
      <w:pPr>
        <w:pStyle w:val="Normale1"/>
        <w:tabs>
          <w:tab w:val="left" w:pos="720"/>
        </w:tabs>
        <w:spacing w:after="0"/>
        <w:ind w:left="284"/>
        <w:jc w:val="both"/>
        <w:rPr>
          <w:sz w:val="20"/>
        </w:rPr>
      </w:pPr>
    </w:p>
    <w:p w:rsidR="00DD64D1" w:rsidRDefault="00DD64D1" w:rsidP="009F0590">
      <w:pPr>
        <w:pStyle w:val="Normale1"/>
        <w:numPr>
          <w:ilvl w:val="1"/>
          <w:numId w:val="3"/>
        </w:numPr>
        <w:tabs>
          <w:tab w:val="clear" w:pos="190"/>
          <w:tab w:val="num" w:pos="360"/>
          <w:tab w:val="left" w:pos="720"/>
        </w:tabs>
        <w:spacing w:before="120" w:after="0"/>
        <w:ind w:left="527" w:hanging="357"/>
        <w:jc w:val="both"/>
        <w:rPr>
          <w:sz w:val="20"/>
        </w:rPr>
      </w:pPr>
      <w:r>
        <w:rPr>
          <w:sz w:val="20"/>
        </w:rPr>
        <w:t>I</w:t>
      </w:r>
      <w:r w:rsidRPr="00DD64D1">
        <w:rPr>
          <w:sz w:val="20"/>
        </w:rPr>
        <w:t>nteractions between doxorubicine and γ-cyclodextrin</w:t>
      </w:r>
      <w:r w:rsidR="00A0333C">
        <w:rPr>
          <w:sz w:val="20"/>
        </w:rPr>
        <w:t xml:space="preserve"> (HTPC1</w:t>
      </w:r>
      <w:r w:rsidR="00994BE7">
        <w:rPr>
          <w:sz w:val="20"/>
        </w:rPr>
        <w:t>)</w:t>
      </w:r>
    </w:p>
    <w:p w:rsidR="00DD64D1" w:rsidRDefault="00DD64D1" w:rsidP="00DD64D1">
      <w:pPr>
        <w:pStyle w:val="Normale1"/>
        <w:tabs>
          <w:tab w:val="left" w:pos="720"/>
        </w:tabs>
        <w:spacing w:before="120" w:after="0"/>
        <w:ind w:left="527"/>
        <w:jc w:val="both"/>
        <w:rPr>
          <w:sz w:val="20"/>
        </w:rPr>
      </w:pPr>
    </w:p>
    <w:p w:rsidR="00DD64D1" w:rsidRDefault="00DD64D1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  <w:r w:rsidRPr="00DD64D1">
        <w:rPr>
          <w:rFonts w:ascii="Lucida Grande" w:hAnsi="Lucida Grande"/>
          <w:sz w:val="20"/>
          <w:szCs w:val="20"/>
          <w:lang w:eastAsia="it-IT"/>
        </w:rPr>
        <w:t xml:space="preserve">Doxorubicin is a quite powerful antitumoral agent, of the class of antracyclines. Selection of an appropriate carrier is extremely important to improve bio-availability of the drug and to reduce side effects, especially its cardiotoxicity. This research project is aimed to study interactions between doxorubicine and γ-cyclodextrin, which has been successfully used as a suitable carrier. Computational molecular modeling of these systems will be carried on by molecular mechanics and molecular dynamics methods, using the NAMD package. The four major </w:t>
      </w:r>
      <w:r w:rsidR="00B01D31">
        <w:rPr>
          <w:rFonts w:ascii="Lucida Grande" w:hAnsi="Lucida Grande"/>
          <w:sz w:val="20"/>
          <w:szCs w:val="20"/>
          <w:lang w:eastAsia="it-IT"/>
        </w:rPr>
        <w:t>doxorubicin dimers</w:t>
      </w:r>
      <w:r w:rsidRPr="00DD64D1">
        <w:rPr>
          <w:rFonts w:ascii="Lucida Grande" w:hAnsi="Lucida Grande"/>
          <w:sz w:val="20"/>
          <w:szCs w:val="20"/>
          <w:lang w:eastAsia="it-IT"/>
        </w:rPr>
        <w:t xml:space="preserve"> and the corresponding intermolecular interactions with γ-cyclodextrin in water solutions will be studied by molecular dynamics runs encompassing at least 100 ns of simulation time</w:t>
      </w:r>
      <w:r>
        <w:rPr>
          <w:rFonts w:ascii="Lucida Grande" w:hAnsi="Lucida Grande"/>
          <w:sz w:val="20"/>
          <w:szCs w:val="20"/>
          <w:lang w:eastAsia="it-IT"/>
        </w:rPr>
        <w:t xml:space="preserve"> (HPC part)</w:t>
      </w:r>
      <w:r w:rsidRPr="00DD64D1">
        <w:rPr>
          <w:rFonts w:ascii="Lucida Grande" w:hAnsi="Lucida Grande"/>
          <w:sz w:val="20"/>
          <w:szCs w:val="20"/>
          <w:lang w:eastAsia="it-IT"/>
        </w:rPr>
        <w:t>. Estimates of the binding energies for the different arrangements will be obtained by the Potential of Mean Force (PMF), extracted from a series o</w:t>
      </w:r>
      <w:r>
        <w:rPr>
          <w:rFonts w:ascii="Lucida Grande" w:hAnsi="Lucida Grande"/>
          <w:sz w:val="20"/>
          <w:szCs w:val="20"/>
          <w:lang w:eastAsia="it-IT"/>
        </w:rPr>
        <w:t>f umbrella sampling simulations (HTC part)</w:t>
      </w:r>
    </w:p>
    <w:p w:rsidR="00994BE7" w:rsidRDefault="00994BE7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994BE7" w:rsidRDefault="00994BE7" w:rsidP="00994BE7">
      <w:pPr>
        <w:pStyle w:val="Normale1"/>
        <w:numPr>
          <w:ilvl w:val="1"/>
          <w:numId w:val="3"/>
        </w:numPr>
        <w:tabs>
          <w:tab w:val="clear" w:pos="190"/>
          <w:tab w:val="num" w:pos="360"/>
          <w:tab w:val="left" w:pos="720"/>
        </w:tabs>
        <w:spacing w:before="120" w:after="0"/>
        <w:ind w:left="527" w:hanging="357"/>
        <w:jc w:val="both"/>
        <w:rPr>
          <w:sz w:val="20"/>
        </w:rPr>
      </w:pPr>
      <w:r>
        <w:rPr>
          <w:sz w:val="20"/>
        </w:rPr>
        <w:t>Semiclassical</w:t>
      </w:r>
      <w:r w:rsidRPr="0009353A">
        <w:rPr>
          <w:sz w:val="20"/>
        </w:rPr>
        <w:t xml:space="preserve"> simulations</w:t>
      </w:r>
      <w:r>
        <w:rPr>
          <w:sz w:val="20"/>
        </w:rPr>
        <w:t xml:space="preserve"> of spectroscopy (HTPC2 inverse)</w:t>
      </w:r>
    </w:p>
    <w:p w:rsidR="00994BE7" w:rsidRDefault="00994BE7" w:rsidP="00994BE7">
      <w:pPr>
        <w:pStyle w:val="Normale1"/>
        <w:tabs>
          <w:tab w:val="left" w:pos="720"/>
        </w:tabs>
        <w:spacing w:before="120" w:after="0"/>
        <w:ind w:left="527"/>
        <w:jc w:val="both"/>
        <w:rPr>
          <w:sz w:val="20"/>
        </w:rPr>
      </w:pPr>
    </w:p>
    <w:p w:rsidR="00994BE7" w:rsidRDefault="00994BE7" w:rsidP="00994BE7">
      <w:pPr>
        <w:pStyle w:val="Normale1"/>
        <w:tabs>
          <w:tab w:val="left" w:pos="720"/>
        </w:tabs>
        <w:spacing w:after="0"/>
        <w:ind w:left="284"/>
        <w:jc w:val="both"/>
        <w:rPr>
          <w:sz w:val="20"/>
        </w:rPr>
      </w:pPr>
      <w:r w:rsidRPr="0009353A">
        <w:rPr>
          <w:sz w:val="20"/>
        </w:rPr>
        <w:t xml:space="preserve">This project aims at </w:t>
      </w:r>
      <w:r>
        <w:rPr>
          <w:sz w:val="20"/>
        </w:rPr>
        <w:t xml:space="preserve">reproducing a spectroscopy structure by running first a large number of trajectories (HTC section) whose outcomes are collected and used as input for the SC-IVR code that works out the spectrum using semiclassical techniques (HPC section) applying so far the HTPC2 scheme in an inverted order. </w:t>
      </w:r>
    </w:p>
    <w:p w:rsidR="00D50A6B" w:rsidRDefault="00D50A6B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D50A6B" w:rsidRDefault="00D50A6B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D50A6B" w:rsidRDefault="00D50A6B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D50A6B" w:rsidRDefault="00D50A6B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D50A6B" w:rsidRDefault="00D50A6B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26402D" w:rsidRDefault="0026402D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26402D" w:rsidRDefault="0026402D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26402D" w:rsidRDefault="0026402D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26402D" w:rsidRDefault="0026402D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26402D" w:rsidRDefault="0026402D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26402D" w:rsidRDefault="0026402D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26402D" w:rsidRDefault="0026402D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26402D" w:rsidRDefault="0026402D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26402D" w:rsidRPr="00DD64D1" w:rsidRDefault="0026402D" w:rsidP="00DD64D1">
      <w:pPr>
        <w:ind w:left="284"/>
        <w:jc w:val="both"/>
        <w:rPr>
          <w:rFonts w:ascii="Lucida Grande" w:hAnsi="Lucida Grande"/>
          <w:sz w:val="20"/>
          <w:szCs w:val="20"/>
          <w:lang w:eastAsia="it-IT"/>
        </w:rPr>
      </w:pPr>
    </w:p>
    <w:p w:rsidR="0009237C" w:rsidRDefault="0009237C" w:rsidP="00D50A6B">
      <w:pPr>
        <w:pStyle w:val="Normale1"/>
        <w:tabs>
          <w:tab w:val="left" w:pos="360"/>
        </w:tabs>
        <w:spacing w:before="120" w:after="0"/>
        <w:jc w:val="both"/>
        <w:rPr>
          <w:sz w:val="20"/>
        </w:rPr>
      </w:pPr>
    </w:p>
    <w:p w:rsidR="00A916BC" w:rsidRDefault="00A916BC">
      <w:pPr>
        <w:pStyle w:val="ModulovuotoA"/>
        <w:rPr>
          <w:lang w:val="en-GB"/>
        </w:rPr>
      </w:pPr>
      <w:r w:rsidRPr="00484D56">
        <w:rPr>
          <w:lang w:val="en-US"/>
        </w:rPr>
        <w:lastRenderedPageBreak/>
        <w:t xml:space="preserve">   </w:t>
      </w:r>
      <w:r w:rsidR="00386E5A" w:rsidRPr="00484D56">
        <w:rPr>
          <w:lang w:val="en-US"/>
        </w:rPr>
        <w:t>Tab.1: Summary table highlighting the application used and their computational requirements for the presented case-studies.</w:t>
      </w:r>
    </w:p>
    <w:p w:rsidR="00A916BC" w:rsidRDefault="00A916BC">
      <w:pPr>
        <w:pStyle w:val="ModulovuotoBA"/>
        <w:ind w:left="108"/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2410"/>
        <w:gridCol w:w="747"/>
        <w:gridCol w:w="1110"/>
        <w:gridCol w:w="973"/>
        <w:gridCol w:w="832"/>
        <w:gridCol w:w="1110"/>
        <w:gridCol w:w="998"/>
      </w:tblGrid>
      <w:tr w:rsidR="00A916BC" w:rsidTr="00DD64D1">
        <w:trPr>
          <w:cantSplit/>
          <w:trHeight w:val="28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</w:p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</w:p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HPC requirements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HTC requirements</w:t>
            </w:r>
          </w:p>
        </w:tc>
      </w:tr>
      <w:tr w:rsidR="00A916BC" w:rsidTr="00DD64D1">
        <w:trPr>
          <w:cantSplit/>
          <w:trHeight w:val="710"/>
        </w:trPr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Cores</w:t>
            </w:r>
            <w:r w:rsidR="0009353A">
              <w:rPr>
                <w:sz w:val="20"/>
              </w:rPr>
              <w:t xml:space="preserve"> /job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Memory</w:t>
            </w:r>
          </w:p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(GB/core)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Total allocated time (h)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53A" w:rsidRDefault="00A916BC" w:rsidP="0009353A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Cores</w:t>
            </w:r>
          </w:p>
          <w:p w:rsidR="00A916BC" w:rsidRDefault="0009353A" w:rsidP="0009353A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/job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Memory</w:t>
            </w:r>
          </w:p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(GB/core)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BC" w:rsidRDefault="00A916BC">
            <w:pPr>
              <w:pStyle w:val="Normale1"/>
              <w:tabs>
                <w:tab w:val="left" w:pos="360"/>
                <w:tab w:val="left" w:pos="72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Total allocated time (h)</w:t>
            </w:r>
          </w:p>
        </w:tc>
      </w:tr>
      <w:tr w:rsidR="00D325C8" w:rsidTr="00DD64D1">
        <w:trPr>
          <w:cantSplit/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C8" w:rsidRPr="0009353A" w:rsidRDefault="007F7355" w:rsidP="007C244F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ABC</w:t>
            </w:r>
            <w:r w:rsidR="00DD64D1">
              <w:rPr>
                <w:sz w:val="20"/>
              </w:rPr>
              <w:t xml:space="preserve"> (use case a)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C8" w:rsidRPr="0009353A" w:rsidRDefault="007F7355" w:rsidP="007C244F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C8" w:rsidRPr="0009353A" w:rsidRDefault="007F7355" w:rsidP="007C244F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C8" w:rsidRPr="0009353A" w:rsidRDefault="007F7355" w:rsidP="007C244F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25K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C8" w:rsidRPr="0009353A" w:rsidRDefault="007F7355" w:rsidP="007C244F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C8" w:rsidRPr="0009353A" w:rsidRDefault="007F7355" w:rsidP="007C244F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C8" w:rsidRPr="0009353A" w:rsidRDefault="007F7355" w:rsidP="007C244F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50K</w:t>
            </w:r>
          </w:p>
        </w:tc>
      </w:tr>
      <w:tr w:rsidR="00DD64D1" w:rsidTr="00DD64D1">
        <w:trPr>
          <w:cantSplit/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MCTDH (use case b)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50A6B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DD64D1">
              <w:rPr>
                <w:sz w:val="20"/>
              </w:rPr>
              <w:t>0K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40K</w:t>
            </w:r>
          </w:p>
        </w:tc>
      </w:tr>
      <w:tr w:rsidR="00DD64D1" w:rsidTr="00DD64D1">
        <w:trPr>
          <w:cantSplit/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GAMESS-US</w:t>
            </w:r>
            <w:r>
              <w:rPr>
                <w:sz w:val="20"/>
              </w:rPr>
              <w:t xml:space="preserve"> (use case c)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300K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4D1" w:rsidRPr="0009353A" w:rsidRDefault="00DD64D1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</w:p>
        </w:tc>
      </w:tr>
      <w:tr w:rsidR="00F70CBC" w:rsidTr="00DD64D1">
        <w:trPr>
          <w:cantSplit/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DL_POLY</w:t>
            </w:r>
            <w:r>
              <w:rPr>
                <w:sz w:val="20"/>
              </w:rPr>
              <w:t xml:space="preserve"> (use case d)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64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100K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500K</w:t>
            </w:r>
          </w:p>
        </w:tc>
      </w:tr>
      <w:tr w:rsidR="00F70CBC" w:rsidTr="00DD64D1">
        <w:trPr>
          <w:cantSplit/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CP2K</w:t>
            </w:r>
            <w:r>
              <w:rPr>
                <w:sz w:val="20"/>
              </w:rPr>
              <w:t xml:space="preserve"> (use case e – HPC)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512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512K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</w:p>
        </w:tc>
      </w:tr>
      <w:tr w:rsidR="00F70CBC" w:rsidTr="00DD64D1">
        <w:trPr>
          <w:cantSplit/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NAMD</w:t>
            </w:r>
            <w:r>
              <w:rPr>
                <w:sz w:val="20"/>
              </w:rPr>
              <w:t xml:space="preserve"> (use case e – HTC)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CBC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 w:rsidRPr="0009353A">
              <w:rPr>
                <w:sz w:val="20"/>
              </w:rPr>
              <w:t>40K</w:t>
            </w:r>
          </w:p>
        </w:tc>
      </w:tr>
      <w:tr w:rsidR="007F7355" w:rsidTr="00DD64D1">
        <w:trPr>
          <w:cantSplit/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NAMD (use case f)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50k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F70CBC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60k</w:t>
            </w:r>
          </w:p>
        </w:tc>
      </w:tr>
      <w:tr w:rsidR="007F7355" w:rsidTr="00DD64D1">
        <w:trPr>
          <w:cantSplit/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7F7355" w:rsidP="007C244F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VENUS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7F7355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7F7355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7F7355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50K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7F7355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7F7355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55" w:rsidRPr="0009353A" w:rsidRDefault="007F7355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50K</w:t>
            </w:r>
          </w:p>
        </w:tc>
      </w:tr>
      <w:tr w:rsidR="00D50A6B" w:rsidTr="00DD64D1">
        <w:trPr>
          <w:cantSplit/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6B" w:rsidRDefault="00D50A6B" w:rsidP="007C244F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SC-IVR (use case g)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6B" w:rsidRDefault="00D50A6B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6B" w:rsidRDefault="00D50A6B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6B" w:rsidRDefault="00D50A6B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6B" w:rsidRDefault="00D50A6B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6B" w:rsidRDefault="00D50A6B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A6B" w:rsidRDefault="00D50A6B" w:rsidP="0007166E">
            <w:pPr>
              <w:pStyle w:val="Normale1"/>
              <w:tabs>
                <w:tab w:val="left" w:pos="360"/>
                <w:tab w:val="left" w:pos="720"/>
              </w:tabs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A916BC" w:rsidRDefault="00920EE6">
      <w:pPr>
        <w:pStyle w:val="ModulovuotoA"/>
      </w:pPr>
      <w:r>
        <w:t xml:space="preserve">    </w:t>
      </w:r>
    </w:p>
    <w:p w:rsidR="0026402D" w:rsidRDefault="0026402D">
      <w:pPr>
        <w:pStyle w:val="Normale1"/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/>
          <w:color w:val="auto"/>
          <w:sz w:val="20"/>
          <w:lang w:val="it-IT" w:eastAsia="en-GB"/>
        </w:rPr>
      </w:pPr>
    </w:p>
    <w:p w:rsidR="0026402D" w:rsidRDefault="0026402D">
      <w:pPr>
        <w:pStyle w:val="Normale1"/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/>
          <w:color w:val="auto"/>
          <w:sz w:val="20"/>
          <w:lang w:val="it-IT" w:eastAsia="en-GB"/>
        </w:rPr>
      </w:pPr>
    </w:p>
    <w:p w:rsidR="0052337F" w:rsidRPr="0026402D" w:rsidRDefault="0052337F" w:rsidP="0052337F">
      <w:pPr>
        <w:pStyle w:val="Normale1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b/>
          <w:sz w:val="18"/>
          <w:szCs w:val="18"/>
        </w:rPr>
      </w:pPr>
      <w:r w:rsidRPr="0026402D">
        <w:rPr>
          <w:b/>
          <w:sz w:val="18"/>
          <w:szCs w:val="18"/>
        </w:rPr>
        <w:t>Appendix A: People involved and affiliation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Courier New" w:eastAsia="Times New Roman" w:hAnsi="Courier New" w:cs="Courier New"/>
          <w:color w:val="auto"/>
          <w:sz w:val="18"/>
          <w:szCs w:val="18"/>
          <w:lang w:eastAsia="it-IT"/>
        </w:rPr>
      </w:pP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eastAsia="it-IT"/>
        </w:rPr>
      </w:pPr>
      <w:r w:rsidRPr="0026402D">
        <w:rPr>
          <w:rFonts w:ascii="Lucida Grande" w:hAnsi="Lucida Grande"/>
          <w:b/>
          <w:sz w:val="18"/>
          <w:szCs w:val="18"/>
          <w:lang w:eastAsia="it-IT"/>
        </w:rPr>
        <w:t>William L Hase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eastAsia="it-IT"/>
        </w:rPr>
      </w:pPr>
      <w:r w:rsidRPr="0026402D">
        <w:rPr>
          <w:rFonts w:ascii="Lucida Grande" w:hAnsi="Lucida Grande"/>
          <w:b/>
          <w:sz w:val="18"/>
          <w:szCs w:val="18"/>
          <w:lang w:eastAsia="it-IT"/>
        </w:rPr>
        <w:t>Alan Sill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sz w:val="18"/>
          <w:szCs w:val="18"/>
          <w:lang w:eastAsia="it-IT"/>
        </w:rPr>
        <w:t>Dept. of Chemistry and Byochemistry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sz w:val="18"/>
          <w:szCs w:val="18"/>
          <w:lang w:eastAsia="it-IT"/>
        </w:rPr>
        <w:t>HPC Center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sz w:val="18"/>
          <w:szCs w:val="18"/>
          <w:lang w:eastAsia="it-IT"/>
        </w:rPr>
        <w:t>Texas Tech University</w:t>
      </w:r>
    </w:p>
    <w:p w:rsidR="00D50A6B" w:rsidRPr="0026402D" w:rsidRDefault="00D50A6B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</w:p>
    <w:p w:rsidR="00D50A6B" w:rsidRPr="0026402D" w:rsidRDefault="00D50A6B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eastAsia="it-IT"/>
        </w:rPr>
      </w:pPr>
      <w:r w:rsidRPr="0026402D">
        <w:rPr>
          <w:rFonts w:ascii="Lucida Grande" w:hAnsi="Lucida Grande"/>
          <w:b/>
          <w:sz w:val="18"/>
          <w:szCs w:val="18"/>
          <w:lang w:eastAsia="it-IT"/>
        </w:rPr>
        <w:t>Sergio Rampino</w:t>
      </w:r>
    </w:p>
    <w:p w:rsidR="0026402D" w:rsidRDefault="00D50A6B" w:rsidP="00264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sz w:val="18"/>
          <w:szCs w:val="18"/>
        </w:rPr>
        <w:t xml:space="preserve"> </w:t>
      </w:r>
      <w:r w:rsidR="0026402D" w:rsidRPr="0026402D">
        <w:rPr>
          <w:rFonts w:ascii="Lucida Grande" w:hAnsi="Lucida Grande"/>
          <w:sz w:val="18"/>
          <w:szCs w:val="18"/>
          <w:lang w:eastAsia="it-IT"/>
        </w:rPr>
        <w:t>Institute of Molecular Science and Technologies of the Italian National Research Council, (CNR-ISTM) – Perugia Dept.</w:t>
      </w:r>
    </w:p>
    <w:p w:rsidR="0052337F" w:rsidRPr="0026402D" w:rsidRDefault="0026402D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>
        <w:rPr>
          <w:rFonts w:ascii="Lucida Grande" w:hAnsi="Lucida Grande"/>
          <w:sz w:val="18"/>
          <w:szCs w:val="18"/>
          <w:lang w:eastAsia="it-IT"/>
        </w:rPr>
        <w:t>Italy</w:t>
      </w:r>
    </w:p>
    <w:p w:rsidR="0052337F" w:rsidRPr="0026402D" w:rsidRDefault="0052337F" w:rsidP="00D5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Grande" w:hAnsi="Lucida Grande"/>
          <w:sz w:val="18"/>
          <w:szCs w:val="18"/>
          <w:lang w:eastAsia="it-IT"/>
        </w:rPr>
      </w:pP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val="it-IT" w:eastAsia="it-IT"/>
        </w:rPr>
      </w:pPr>
      <w:r w:rsidRPr="0026402D">
        <w:rPr>
          <w:rFonts w:ascii="Lucida Grande" w:hAnsi="Lucida Grande"/>
          <w:b/>
          <w:sz w:val="18"/>
          <w:szCs w:val="18"/>
          <w:lang w:val="it-IT" w:eastAsia="it-IT"/>
        </w:rPr>
        <w:t>Marco Sant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eastAsia="it-IT"/>
        </w:rPr>
      </w:pPr>
      <w:r w:rsidRPr="0026402D">
        <w:rPr>
          <w:rFonts w:ascii="Lucida Grande" w:hAnsi="Lucida Grande"/>
          <w:b/>
          <w:sz w:val="18"/>
          <w:szCs w:val="18"/>
          <w:lang w:eastAsia="it-IT"/>
        </w:rPr>
        <w:t>Andera Gabrieli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sz w:val="18"/>
          <w:szCs w:val="18"/>
          <w:lang w:eastAsia="it-IT"/>
        </w:rPr>
        <w:t>University of Sassari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sz w:val="18"/>
          <w:szCs w:val="18"/>
          <w:lang w:eastAsia="it-IT"/>
        </w:rPr>
        <w:t>Dept. of Chemistry and pharmacy</w:t>
      </w:r>
    </w:p>
    <w:p w:rsidR="00D50A6B" w:rsidRPr="0026402D" w:rsidRDefault="00D50A6B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val="it-IT" w:eastAsia="it-IT"/>
        </w:rPr>
      </w:pPr>
      <w:r w:rsidRPr="0026402D">
        <w:rPr>
          <w:rFonts w:ascii="Lucida Grande" w:hAnsi="Lucida Grande"/>
          <w:sz w:val="18"/>
          <w:szCs w:val="18"/>
          <w:lang w:val="it-IT" w:eastAsia="it-IT"/>
        </w:rPr>
        <w:t>Italy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val="it-IT" w:eastAsia="it-IT"/>
        </w:rPr>
      </w:pP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val="it-IT" w:eastAsia="it-IT"/>
        </w:rPr>
      </w:pPr>
      <w:r w:rsidRPr="0026402D">
        <w:rPr>
          <w:rFonts w:ascii="Lucida Grande" w:hAnsi="Lucida Grande"/>
          <w:b/>
          <w:sz w:val="18"/>
          <w:szCs w:val="18"/>
          <w:lang w:val="it-IT" w:eastAsia="it-IT"/>
        </w:rPr>
        <w:t>Noelia Faginas Lago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val="it-IT" w:eastAsia="it-IT"/>
        </w:rPr>
      </w:pPr>
      <w:r w:rsidRPr="0026402D">
        <w:rPr>
          <w:rFonts w:ascii="Lucida Grande" w:hAnsi="Lucida Grande"/>
          <w:b/>
          <w:sz w:val="18"/>
          <w:szCs w:val="18"/>
          <w:lang w:val="it-IT" w:eastAsia="it-IT"/>
        </w:rPr>
        <w:t>Leonardo Pacifici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b/>
          <w:sz w:val="18"/>
          <w:szCs w:val="18"/>
          <w:lang w:eastAsia="it-IT"/>
        </w:rPr>
        <w:t>Dimitrios SKOUTERIS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sz w:val="18"/>
          <w:szCs w:val="18"/>
          <w:lang w:eastAsia="it-IT"/>
        </w:rPr>
        <w:t>University of Perugia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sz w:val="18"/>
          <w:szCs w:val="18"/>
          <w:lang w:eastAsia="it-IT"/>
        </w:rPr>
        <w:t>Dept. of Chemistry</w:t>
      </w:r>
    </w:p>
    <w:p w:rsidR="00D50A6B" w:rsidRPr="0026402D" w:rsidRDefault="00D50A6B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sz w:val="18"/>
          <w:szCs w:val="18"/>
          <w:lang w:eastAsia="it-IT"/>
        </w:rPr>
        <w:t>Italy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eastAsia="it-IT"/>
        </w:rPr>
      </w:pPr>
      <w:r w:rsidRPr="0026402D">
        <w:rPr>
          <w:rFonts w:ascii="Lucida Grande" w:hAnsi="Lucida Grande"/>
          <w:b/>
          <w:sz w:val="18"/>
          <w:szCs w:val="18"/>
          <w:lang w:eastAsia="it-IT"/>
        </w:rPr>
        <w:t>Stefano Ottani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sz w:val="18"/>
          <w:szCs w:val="18"/>
          <w:lang w:eastAsia="it-IT"/>
        </w:rPr>
        <w:t xml:space="preserve">Institute of Organic Synthesis and Photoreactivity of the Italian National </w:t>
      </w:r>
      <w:r w:rsidR="001C0395" w:rsidRPr="0026402D">
        <w:rPr>
          <w:rFonts w:ascii="Lucida Grande" w:hAnsi="Lucida Grande"/>
          <w:sz w:val="18"/>
          <w:szCs w:val="18"/>
          <w:lang w:eastAsia="it-IT"/>
        </w:rPr>
        <w:t>Research</w:t>
      </w:r>
      <w:r w:rsidRPr="0026402D">
        <w:rPr>
          <w:rFonts w:ascii="Lucida Grande" w:hAnsi="Lucida Grande"/>
          <w:sz w:val="18"/>
          <w:szCs w:val="18"/>
          <w:lang w:eastAsia="it-IT"/>
        </w:rPr>
        <w:t xml:space="preserve"> Council (CNR-ISOF) – Bologna Dept.</w:t>
      </w:r>
    </w:p>
    <w:p w:rsidR="00D50A6B" w:rsidRPr="0026402D" w:rsidRDefault="00D50A6B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26402D">
        <w:rPr>
          <w:rFonts w:ascii="Lucida Grande" w:hAnsi="Lucida Grande"/>
          <w:sz w:val="18"/>
          <w:szCs w:val="18"/>
          <w:lang w:eastAsia="it-IT"/>
        </w:rPr>
        <w:t>Italy</w:t>
      </w:r>
    </w:p>
    <w:p w:rsidR="00026D59" w:rsidRPr="0026402D" w:rsidRDefault="00026D59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</w:p>
    <w:p w:rsidR="00026D59" w:rsidRPr="0026402D" w:rsidRDefault="00026D59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</w:p>
    <w:p w:rsidR="0052337F" w:rsidRPr="0026402D" w:rsidRDefault="00026D59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eastAsia="it-IT"/>
        </w:rPr>
      </w:pPr>
      <w:r w:rsidRPr="0026402D">
        <w:rPr>
          <w:rFonts w:ascii="Lucida Grande" w:hAnsi="Lucida Grande"/>
          <w:b/>
          <w:sz w:val="18"/>
          <w:szCs w:val="18"/>
          <w:lang w:eastAsia="it-IT"/>
        </w:rPr>
        <w:t>Michele Ceotto</w:t>
      </w:r>
    </w:p>
    <w:p w:rsidR="00026D59" w:rsidRPr="009F0590" w:rsidRDefault="00026D59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9F0590">
        <w:rPr>
          <w:rFonts w:ascii="Lucida Grande" w:hAnsi="Lucida Grande"/>
          <w:sz w:val="18"/>
          <w:szCs w:val="18"/>
          <w:lang w:eastAsia="it-IT"/>
        </w:rPr>
        <w:t>University of Milano</w:t>
      </w:r>
    </w:p>
    <w:p w:rsidR="00026D59" w:rsidRPr="009F0590" w:rsidRDefault="00026D59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9F0590">
        <w:rPr>
          <w:rFonts w:ascii="Lucida Grande" w:hAnsi="Lucida Grande"/>
          <w:sz w:val="18"/>
          <w:szCs w:val="18"/>
          <w:lang w:eastAsia="it-IT"/>
        </w:rPr>
        <w:t>Department of Chemistry</w:t>
      </w:r>
    </w:p>
    <w:p w:rsidR="00026D59" w:rsidRPr="009F0590" w:rsidRDefault="00026D59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eastAsia="it-IT"/>
        </w:rPr>
      </w:pPr>
      <w:r w:rsidRPr="009F0590">
        <w:rPr>
          <w:rFonts w:ascii="Lucida Grande" w:hAnsi="Lucida Grande"/>
          <w:sz w:val="18"/>
          <w:szCs w:val="18"/>
          <w:lang w:eastAsia="it-IT"/>
        </w:rPr>
        <w:t>Italy</w:t>
      </w:r>
    </w:p>
    <w:p w:rsidR="00026D59" w:rsidRPr="0026402D" w:rsidRDefault="00026D59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val="it-IT" w:eastAsia="it-IT"/>
        </w:rPr>
      </w:pPr>
    </w:p>
    <w:p w:rsidR="00026D59" w:rsidRPr="0026402D" w:rsidRDefault="00026D59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sz w:val="18"/>
          <w:szCs w:val="18"/>
          <w:lang w:val="it-IT" w:eastAsia="it-IT"/>
        </w:rPr>
      </w:pP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val="it-IT" w:eastAsia="it-IT"/>
        </w:rPr>
      </w:pPr>
      <w:r w:rsidRPr="0026402D">
        <w:rPr>
          <w:rFonts w:ascii="Lucida Grande" w:hAnsi="Lucida Grande"/>
          <w:b/>
          <w:sz w:val="18"/>
          <w:szCs w:val="18"/>
          <w:lang w:val="it-IT" w:eastAsia="it-IT"/>
        </w:rPr>
        <w:t>Daniele Cesini</w:t>
      </w:r>
    </w:p>
    <w:p w:rsidR="0052337F" w:rsidRPr="0026402D" w:rsidRDefault="0052337F" w:rsidP="005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rFonts w:ascii="Lucida Grande" w:hAnsi="Lucida Grande"/>
          <w:b/>
          <w:sz w:val="18"/>
          <w:szCs w:val="18"/>
          <w:lang w:val="it-IT" w:eastAsia="it-IT"/>
        </w:rPr>
      </w:pPr>
      <w:r w:rsidRPr="0026402D">
        <w:rPr>
          <w:rFonts w:ascii="Lucida Grande" w:hAnsi="Lucida Grande"/>
          <w:b/>
          <w:sz w:val="18"/>
          <w:szCs w:val="18"/>
          <w:lang w:val="it-IT" w:eastAsia="it-IT"/>
        </w:rPr>
        <w:t>Alessandro Costantini</w:t>
      </w:r>
    </w:p>
    <w:p w:rsidR="0052337F" w:rsidRPr="0026402D" w:rsidRDefault="0052337F" w:rsidP="00264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  <w:rPr>
          <w:b/>
          <w:sz w:val="20"/>
          <w:lang w:val="it-IT"/>
        </w:rPr>
      </w:pPr>
      <w:r w:rsidRPr="0026402D">
        <w:rPr>
          <w:rFonts w:ascii="Lucida Grande" w:hAnsi="Lucida Grande"/>
          <w:sz w:val="18"/>
          <w:szCs w:val="18"/>
          <w:lang w:val="it-IT" w:eastAsia="it-IT"/>
        </w:rPr>
        <w:t>INFN-IGI – Italian NGI user support team</w:t>
      </w:r>
    </w:p>
    <w:sectPr w:rsidR="0052337F" w:rsidRPr="0026402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E2" w:rsidRDefault="002F02E2">
      <w:r>
        <w:separator/>
      </w:r>
    </w:p>
  </w:endnote>
  <w:endnote w:type="continuationSeparator" w:id="0">
    <w:p w:rsidR="002F02E2" w:rsidRDefault="002F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6B" w:rsidRDefault="00D50A6B">
    <w:pPr>
      <w:pStyle w:val="footer"/>
      <w:tabs>
        <w:tab w:val="clear" w:pos="8640"/>
        <w:tab w:val="right" w:pos="8280"/>
      </w:tabs>
      <w:rPr>
        <w:rFonts w:ascii="Times New Roman" w:eastAsia="Times New Roman" w:hAnsi="Times New Roman"/>
        <w:color w:val="auto"/>
        <w:sz w:val="20"/>
        <w:lang w:val="en-GB" w:eastAsia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6B" w:rsidRDefault="00D50A6B">
    <w:pPr>
      <w:pStyle w:val="footer"/>
      <w:tabs>
        <w:tab w:val="clear" w:pos="8640"/>
        <w:tab w:val="right" w:pos="8280"/>
      </w:tabs>
      <w:rPr>
        <w:rFonts w:ascii="Times New Roman" w:eastAsia="Times New Roman" w:hAnsi="Times New Roman"/>
        <w:color w:val="auto"/>
        <w:sz w:val="20"/>
        <w:lang w:val="en-GB" w:eastAsia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E2" w:rsidRDefault="002F02E2">
      <w:r>
        <w:separator/>
      </w:r>
    </w:p>
  </w:footnote>
  <w:footnote w:type="continuationSeparator" w:id="0">
    <w:p w:rsidR="002F02E2" w:rsidRDefault="002F0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6B" w:rsidRDefault="00D50A6B">
    <w:pPr>
      <w:pStyle w:val="ModulovuotoA"/>
    </w:pPr>
  </w:p>
  <w:p w:rsidR="00D50A6B" w:rsidRDefault="00D50A6B">
    <w:pPr>
      <w:pStyle w:val="ModulovuotoA"/>
      <w:rPr>
        <w:rFonts w:eastAsia="Times New Roman"/>
        <w:color w:val="auto"/>
        <w:lang w:val="en-GB" w:eastAsia="en-GB"/>
      </w:rPr>
    </w:pPr>
    <w:r>
      <w:rPr>
        <w:noProof/>
        <w:lang w:val="en-GB" w:eastAsia="en-GB"/>
      </w:rPr>
      <w:pict>
        <v:rect id="_x0000_s2050" style="position:absolute;margin-left:290.85pt;margin-top:787.95pt;width:17.3pt;height:14pt;z-index:-251658240;mso-position-horizontal-relative:page;mso-position-vertical-relative:page" coordsize="21600,21600" stroked="f">
          <v:fill opacity="0" o:detectmouseclick="t"/>
          <v:stroke joinstyle="round"/>
          <v:path arrowok="t" o:connectlocs="10800,10800"/>
          <v:textbox inset="0,0,0,0">
            <w:txbxContent>
              <w:p w:rsidR="00D50A6B" w:rsidRDefault="00D50A6B">
                <w:pPr>
                  <w:pStyle w:val="footer"/>
                  <w:rPr>
                    <w:rFonts w:ascii="Times New Roman" w:eastAsia="Times New Roman" w:hAnsi="Times New Roman"/>
                    <w:color w:val="auto"/>
                    <w:sz w:val="20"/>
                    <w:lang w:val="en-GB" w:eastAsia="en-GB"/>
                  </w:rPr>
                </w:pPr>
                <w:r>
                  <w:rPr>
                    <w:rStyle w:val="pagenumber"/>
                    <w:sz w:val="24"/>
                  </w:rPr>
                  <w:fldChar w:fldCharType="begin"/>
                </w:r>
                <w:r>
                  <w:rPr>
                    <w:rStyle w:val="pagenumber"/>
                    <w:sz w:val="24"/>
                  </w:rPr>
                  <w:instrText xml:space="preserve"> PAGE </w:instrText>
                </w:r>
                <w:r>
                  <w:rPr>
                    <w:rStyle w:val="pagenumber"/>
                    <w:sz w:val="24"/>
                  </w:rPr>
                  <w:fldChar w:fldCharType="separate"/>
                </w:r>
                <w:r w:rsidR="00406CF2">
                  <w:rPr>
                    <w:rStyle w:val="pagenumber"/>
                    <w:noProof/>
                    <w:sz w:val="24"/>
                  </w:rPr>
                  <w:t>4</w:t>
                </w:r>
                <w:r>
                  <w:rPr>
                    <w:rStyle w:val="pagenumber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6B" w:rsidRDefault="00D50A6B">
    <w:pPr>
      <w:pStyle w:val="ModulovuotoA"/>
    </w:pPr>
  </w:p>
  <w:p w:rsidR="00D50A6B" w:rsidRDefault="00D50A6B">
    <w:pPr>
      <w:pStyle w:val="ModulovuotoA"/>
      <w:rPr>
        <w:rFonts w:eastAsia="Times New Roman"/>
        <w:color w:val="auto"/>
        <w:lang w:val="en-GB" w:eastAsia="en-GB"/>
      </w:rPr>
    </w:pPr>
    <w:r>
      <w:rPr>
        <w:noProof/>
        <w:lang w:val="en-GB" w:eastAsia="en-GB"/>
      </w:rPr>
      <w:pict>
        <v:rect id="_x0000_s2049" style="position:absolute;margin-left:290.85pt;margin-top:787.95pt;width:17.3pt;height:14pt;z-index:-251659264;mso-position-horizontal-relative:page;mso-position-vertical-relative:page" coordsize="21600,21600" stroked="f">
          <v:fill opacity="0" o:detectmouseclick="t"/>
          <v:stroke joinstyle="round"/>
          <v:path arrowok="t" o:connectlocs="10800,10800"/>
          <v:textbox inset="0,0,0,0">
            <w:txbxContent>
              <w:p w:rsidR="00D50A6B" w:rsidRDefault="00D50A6B">
                <w:pPr>
                  <w:pStyle w:val="footer"/>
                  <w:rPr>
                    <w:rFonts w:ascii="Times New Roman" w:eastAsia="Times New Roman" w:hAnsi="Times New Roman"/>
                    <w:color w:val="auto"/>
                    <w:sz w:val="20"/>
                    <w:lang w:val="en-GB" w:eastAsia="en-GB"/>
                  </w:rPr>
                </w:pPr>
                <w:r>
                  <w:rPr>
                    <w:rStyle w:val="pagenumber"/>
                    <w:sz w:val="24"/>
                  </w:rPr>
                  <w:fldChar w:fldCharType="begin"/>
                </w:r>
                <w:r>
                  <w:rPr>
                    <w:rStyle w:val="pagenumber"/>
                    <w:sz w:val="24"/>
                  </w:rPr>
                  <w:instrText xml:space="preserve"> PAGE </w:instrText>
                </w:r>
                <w:r>
                  <w:rPr>
                    <w:rStyle w:val="pagenumber"/>
                    <w:sz w:val="24"/>
                  </w:rPr>
                  <w:fldChar w:fldCharType="separate"/>
                </w:r>
                <w:r w:rsidR="00406CF2">
                  <w:rPr>
                    <w:rStyle w:val="pagenumber"/>
                    <w:noProof/>
                    <w:sz w:val="24"/>
                  </w:rPr>
                  <w:t>3</w:t>
                </w:r>
                <w:r>
                  <w:rPr>
                    <w:rStyle w:val="pagenumber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968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55"/>
        </w:tabs>
        <w:ind w:left="555" w:firstLine="5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085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5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5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5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5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firstLine="567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5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5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5"/>
      </w:pPr>
      <w:rPr>
        <w:rFonts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5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90"/>
        </w:tabs>
        <w:ind w:left="190" w:firstLine="17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80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5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24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96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5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40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125"/>
      </w:pPr>
      <w:rPr>
        <w:rFonts w:hint="default"/>
        <w:color w:val="000000"/>
        <w:position w:val="0"/>
        <w:sz w:val="24"/>
      </w:rPr>
    </w:lvl>
  </w:abstractNum>
  <w:abstractNum w:abstractNumId="4">
    <w:nsid w:val="0B4E5DAD"/>
    <w:multiLevelType w:val="hybridMultilevel"/>
    <w:tmpl w:val="10B0AC02"/>
    <w:lvl w:ilvl="0" w:tplc="29864A22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16BC"/>
    <w:rsid w:val="00026D59"/>
    <w:rsid w:val="0007166E"/>
    <w:rsid w:val="0009237C"/>
    <w:rsid w:val="0009353A"/>
    <w:rsid w:val="000D1699"/>
    <w:rsid w:val="001945B2"/>
    <w:rsid w:val="001C0395"/>
    <w:rsid w:val="0026402D"/>
    <w:rsid w:val="002F02E2"/>
    <w:rsid w:val="002F4FE0"/>
    <w:rsid w:val="00386E5A"/>
    <w:rsid w:val="00406CF2"/>
    <w:rsid w:val="00426C49"/>
    <w:rsid w:val="00484D56"/>
    <w:rsid w:val="0052337F"/>
    <w:rsid w:val="00554291"/>
    <w:rsid w:val="00682FC5"/>
    <w:rsid w:val="00693F2E"/>
    <w:rsid w:val="00786B48"/>
    <w:rsid w:val="007C244F"/>
    <w:rsid w:val="007F6E2C"/>
    <w:rsid w:val="007F7355"/>
    <w:rsid w:val="007F751A"/>
    <w:rsid w:val="008221EF"/>
    <w:rsid w:val="00920EE6"/>
    <w:rsid w:val="00994BE7"/>
    <w:rsid w:val="009C0E04"/>
    <w:rsid w:val="009D5686"/>
    <w:rsid w:val="009F0590"/>
    <w:rsid w:val="00A0333C"/>
    <w:rsid w:val="00A916BC"/>
    <w:rsid w:val="00AF2868"/>
    <w:rsid w:val="00B01D31"/>
    <w:rsid w:val="00CC3705"/>
    <w:rsid w:val="00D325C8"/>
    <w:rsid w:val="00D50A6B"/>
    <w:rsid w:val="00D67DC0"/>
    <w:rsid w:val="00D9385A"/>
    <w:rsid w:val="00DD2498"/>
    <w:rsid w:val="00DD64D1"/>
    <w:rsid w:val="00EA5C1A"/>
    <w:rsid w:val="00EE7755"/>
    <w:rsid w:val="00F70CBC"/>
    <w:rsid w:val="00FA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dulovuotoA">
    <w:name w:val="Modulo vuoto A"/>
    <w:autoRedefine/>
    <w:rPr>
      <w:rFonts w:eastAsia="ヒラギノ角ゴ Pro W3"/>
      <w:color w:val="000000"/>
      <w:lang w:val="it-IT" w:eastAsia="it-IT"/>
    </w:rPr>
  </w:style>
  <w:style w:type="paragraph" w:customStyle="1" w:styleId="footer">
    <w:name w:val="footer"/>
    <w:pPr>
      <w:widowControl w:val="0"/>
      <w:tabs>
        <w:tab w:val="center" w:pos="4320"/>
        <w:tab w:val="right" w:pos="8640"/>
      </w:tabs>
      <w:suppressAutoHyphens/>
      <w:spacing w:after="200"/>
    </w:pPr>
    <w:rPr>
      <w:rFonts w:ascii="Lucida Grande" w:eastAsia="ヒラギノ角ゴ Pro W3" w:hAnsi="Lucida Grande"/>
      <w:color w:val="000000"/>
      <w:sz w:val="24"/>
      <w:lang w:val="en-US" w:eastAsia="it-IT"/>
    </w:rPr>
  </w:style>
  <w:style w:type="paragraph" w:customStyle="1" w:styleId="DocTitle">
    <w:name w:val="DocTitle"/>
    <w:pPr>
      <w:tabs>
        <w:tab w:val="left" w:pos="431"/>
        <w:tab w:val="left" w:pos="573"/>
      </w:tabs>
      <w:suppressAutoHyphens/>
      <w:spacing w:before="40" w:after="40" w:line="240" w:lineRule="atLeast"/>
      <w:jc w:val="center"/>
    </w:pPr>
    <w:rPr>
      <w:rFonts w:ascii="Arial Bold" w:eastAsia="ヒラギノ角ゴ Pro W3" w:hAnsi="Arial Bold"/>
      <w:smallCaps/>
      <w:color w:val="353535"/>
      <w:spacing w:val="80"/>
      <w:sz w:val="44"/>
      <w:lang w:eastAsia="it-IT"/>
    </w:rPr>
  </w:style>
  <w:style w:type="paragraph" w:customStyle="1" w:styleId="Normale1">
    <w:name w:val="Normale1"/>
    <w:pPr>
      <w:widowControl w:val="0"/>
      <w:suppressAutoHyphens/>
      <w:spacing w:after="200"/>
    </w:pPr>
    <w:rPr>
      <w:rFonts w:ascii="Lucida Grande" w:eastAsia="ヒラギノ角ゴ Pro W3" w:hAnsi="Lucida Grande"/>
      <w:color w:val="000000"/>
      <w:sz w:val="24"/>
      <w:lang w:val="en-US" w:eastAsia="it-IT"/>
    </w:rPr>
  </w:style>
  <w:style w:type="paragraph" w:customStyle="1" w:styleId="DocDate">
    <w:name w:val="DocDate"/>
    <w:autoRedefine/>
    <w:pPr>
      <w:suppressAutoHyphens/>
      <w:spacing w:before="120" w:after="120"/>
      <w:jc w:val="both"/>
    </w:pPr>
    <w:rPr>
      <w:rFonts w:ascii="Arial Bold" w:eastAsia="ヒラギノ角ゴ Pro W3" w:hAnsi="Arial Bold"/>
      <w:color w:val="000000"/>
      <w:sz w:val="22"/>
      <w:lang w:val="en-GB" w:eastAsia="it-IT"/>
    </w:rPr>
  </w:style>
  <w:style w:type="paragraph" w:customStyle="1" w:styleId="header">
    <w:name w:val="header"/>
    <w:autoRedefine/>
    <w:pPr>
      <w:widowControl w:val="0"/>
      <w:tabs>
        <w:tab w:val="center" w:pos="4819"/>
        <w:tab w:val="right" w:pos="9638"/>
      </w:tabs>
      <w:suppressAutoHyphens/>
      <w:spacing w:after="200"/>
    </w:pPr>
    <w:rPr>
      <w:rFonts w:ascii="Lucida Grande" w:eastAsia="ヒラギノ角ゴ Pro W3" w:hAnsi="Lucida Grande"/>
      <w:color w:val="000000"/>
      <w:sz w:val="24"/>
      <w:lang w:val="en-US" w:eastAsia="it-IT"/>
    </w:rPr>
  </w:style>
  <w:style w:type="paragraph" w:customStyle="1" w:styleId="Modulovuoto">
    <w:name w:val="Modulo vuoto"/>
    <w:rPr>
      <w:rFonts w:eastAsia="ヒラギノ角ゴ Pro W3"/>
      <w:color w:val="000000"/>
      <w:lang w:val="en-GB" w:eastAsia="it-IT"/>
    </w:rPr>
  </w:style>
  <w:style w:type="paragraph" w:customStyle="1" w:styleId="ModulovuotoB">
    <w:name w:val="Modulo vuoto B"/>
    <w:rPr>
      <w:rFonts w:eastAsia="ヒラギノ角ゴ Pro W3"/>
      <w:color w:val="000000"/>
      <w:lang w:val="en-GB" w:eastAsia="it-IT"/>
    </w:rPr>
  </w:style>
  <w:style w:type="paragraph" w:customStyle="1" w:styleId="ModulovuotoBA">
    <w:name w:val="Modulo vuoto B A"/>
    <w:rPr>
      <w:rFonts w:eastAsia="ヒラギノ角ゴ Pro W3"/>
      <w:color w:val="000000"/>
      <w:lang w:val="en-GB" w:eastAsia="it-IT"/>
    </w:rPr>
  </w:style>
  <w:style w:type="paragraph" w:customStyle="1" w:styleId="Testocommento1">
    <w:name w:val="Testo commento1"/>
    <w:autoRedefine/>
    <w:pPr>
      <w:widowControl w:val="0"/>
      <w:suppressAutoHyphens/>
      <w:spacing w:after="200"/>
    </w:pPr>
    <w:rPr>
      <w:rFonts w:ascii="Lucida Grande" w:eastAsia="ヒラギノ角ゴ Pro W3" w:hAnsi="Lucida Grande"/>
      <w:color w:val="000000"/>
      <w:sz w:val="24"/>
      <w:lang w:val="en-US" w:eastAsia="it-IT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  <w:lang w:val="it-IT" w:eastAsia="it-IT"/>
    </w:rPr>
  </w:style>
  <w:style w:type="character" w:customStyle="1" w:styleId="pagenumber">
    <w:name w:val="page number"/>
    <w:autoRedefine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A916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916BC"/>
    <w:rPr>
      <w:rFonts w:ascii="Lucida Grande" w:eastAsia="ヒラギノ角ゴ Pro W3" w:hAnsi="Lucida Grande" w:cs="Lucida Grande"/>
      <w:color w:val="000000"/>
      <w:sz w:val="18"/>
      <w:szCs w:val="18"/>
      <w:lang w:val="en-US" w:eastAsia="en-US"/>
    </w:rPr>
  </w:style>
  <w:style w:type="character" w:styleId="CommentReference">
    <w:name w:val="annotation reference"/>
    <w:locked/>
    <w:rsid w:val="0009353A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09353A"/>
  </w:style>
  <w:style w:type="character" w:customStyle="1" w:styleId="CommentTextChar">
    <w:name w:val="Comment Text Char"/>
    <w:link w:val="CommentText"/>
    <w:rsid w:val="0009353A"/>
    <w:rPr>
      <w:rFonts w:eastAsia="ヒラギノ角ゴ Pro W3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9353A"/>
    <w:rPr>
      <w:b/>
      <w:bCs/>
    </w:rPr>
  </w:style>
  <w:style w:type="character" w:customStyle="1" w:styleId="CommentSubjectChar">
    <w:name w:val="Comment Subject Char"/>
    <w:link w:val="CommentSubject"/>
    <w:rsid w:val="0009353A"/>
    <w:rPr>
      <w:rFonts w:eastAsia="ヒラギノ角ゴ Pro W3"/>
      <w:b/>
      <w:bCs/>
      <w:color w:val="000000"/>
      <w:sz w:val="24"/>
      <w:szCs w:val="24"/>
      <w:lang w:val="en-US" w:eastAsia="en-US"/>
    </w:rPr>
  </w:style>
  <w:style w:type="paragraph" w:styleId="MediumList2-Accent2">
    <w:name w:val="Medium List 2 Accent 2"/>
    <w:hidden/>
    <w:uiPriority w:val="99"/>
    <w:semiHidden/>
    <w:rsid w:val="0009353A"/>
    <w:rPr>
      <w:rFonts w:eastAsia="ヒラギノ角ゴ Pro W3"/>
      <w:color w:val="000000"/>
      <w:sz w:val="24"/>
      <w:szCs w:val="24"/>
      <w:lang w:val="en-US" w:eastAsia="en-US"/>
    </w:rPr>
  </w:style>
  <w:style w:type="character" w:styleId="HTMLCite">
    <w:name w:val="HTML Cite"/>
    <w:uiPriority w:val="99"/>
    <w:unhideWhenUsed/>
    <w:locked/>
    <w:rsid w:val="00386E5A"/>
    <w:rPr>
      <w:i/>
      <w:iCs/>
    </w:rPr>
  </w:style>
  <w:style w:type="character" w:customStyle="1" w:styleId="std">
    <w:name w:val="std"/>
    <w:rsid w:val="00386E5A"/>
  </w:style>
  <w:style w:type="paragraph" w:styleId="NormalWeb">
    <w:name w:val="Normal (Web)"/>
    <w:basedOn w:val="Normal"/>
    <w:uiPriority w:val="99"/>
    <w:unhideWhenUsed/>
    <w:locked/>
    <w:rsid w:val="00386E5A"/>
    <w:pPr>
      <w:spacing w:before="100" w:beforeAutospacing="1" w:after="119"/>
    </w:pPr>
    <w:rPr>
      <w:rFonts w:ascii="Times" w:eastAsia="Times New Roman" w:hAnsi="Times"/>
      <w:color w:val="auto"/>
      <w:sz w:val="20"/>
      <w:szCs w:val="20"/>
      <w:lang w:val="it-IT" w:eastAsia="it-IT"/>
    </w:rPr>
  </w:style>
  <w:style w:type="character" w:styleId="Strong">
    <w:name w:val="Strong"/>
    <w:uiPriority w:val="22"/>
    <w:qFormat/>
    <w:locked/>
    <w:rsid w:val="00386E5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523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52337F"/>
    <w:rPr>
      <w:rFonts w:ascii="Courier New" w:hAnsi="Courier New" w:cs="Courier New"/>
    </w:rPr>
  </w:style>
  <w:style w:type="character" w:customStyle="1" w:styleId="st">
    <w:name w:val="st"/>
    <w:basedOn w:val="DefaultParagraphFont"/>
    <w:rsid w:val="0052337F"/>
  </w:style>
  <w:style w:type="paragraph" w:styleId="ColorfulShading-Accent1">
    <w:name w:val="Colorful Shading Accent 1"/>
    <w:hidden/>
    <w:uiPriority w:val="99"/>
    <w:semiHidden/>
    <w:rsid w:val="001945B2"/>
    <w:rPr>
      <w:rFonts w:eastAsia="ヒラギノ角ゴ Pro W3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AF71A-C069-4ECC-BAC7-35149274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HIPEG</vt:lpstr>
    </vt:vector>
  </TitlesOfParts>
  <Company>Privato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HIPEG</dc:title>
  <dc:creator>antonio lagana</dc:creator>
  <cp:lastModifiedBy>gergely.sipos</cp:lastModifiedBy>
  <cp:revision>2</cp:revision>
  <cp:lastPrinted>2013-06-20T11:04:00Z</cp:lastPrinted>
  <dcterms:created xsi:type="dcterms:W3CDTF">2013-06-20T11:04:00Z</dcterms:created>
  <dcterms:modified xsi:type="dcterms:W3CDTF">2013-06-20T11:04:00Z</dcterms:modified>
</cp:coreProperties>
</file>