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2B8B2A69" w14:textId="5AA1FB92" w:rsidR="009849A7" w:rsidRPr="006D1955" w:rsidRDefault="005349BE" w:rsidP="005349BE">
      <w:pPr>
        <w:jc w:val="center"/>
        <w:rPr>
          <w:b/>
          <w:sz w:val="44"/>
        </w:rPr>
      </w:pPr>
      <w:r w:rsidRPr="005349BE">
        <w:rPr>
          <w:b/>
          <w:sz w:val="44"/>
        </w:rPr>
        <w:t>RESOURCE CENTRE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12491285" w:rsidR="006D1955" w:rsidRPr="006D1955" w:rsidRDefault="00764C78" w:rsidP="0063063E">
            <w:pPr>
              <w:snapToGrid w:val="0"/>
              <w:spacing w:before="120"/>
              <w:jc w:val="left"/>
              <w:rPr>
                <w:rFonts w:asciiTheme="minorHAnsi" w:hAnsiTheme="minorHAnsi" w:cs="Open Sans"/>
              </w:rPr>
            </w:pPr>
            <w:r>
              <w:rPr>
                <w:rFonts w:cs="Open Sans"/>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35DB50B2" w:rsidR="006D1955" w:rsidRPr="002C551F" w:rsidRDefault="00764C78" w:rsidP="0063063E">
            <w:pPr>
              <w:snapToGrid w:val="0"/>
              <w:spacing w:before="120"/>
              <w:jc w:val="left"/>
              <w:rPr>
                <w:rFonts w:asciiTheme="minorHAnsi" w:hAnsiTheme="minorHAnsi" w:cs="Open Sans"/>
                <w:b/>
              </w:rPr>
            </w:pPr>
            <w:r w:rsidRPr="00B8035E">
              <w:rPr>
                <w:rFonts w:cs="Open Sans"/>
              </w:rPr>
              <w:t>Resource infrastructure Provider</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102AED4" w:rsidR="006D1955" w:rsidRPr="006D1955" w:rsidRDefault="005349BE" w:rsidP="0053196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186C5FB4" w:rsidR="006D1955" w:rsidRPr="00764C78" w:rsidRDefault="00D7091D" w:rsidP="005349BE">
            <w:pPr>
              <w:pStyle w:val="DocDate"/>
              <w:snapToGrid w:val="0"/>
              <w:jc w:val="left"/>
              <w:rPr>
                <w:rFonts w:asciiTheme="minorHAnsi" w:hAnsiTheme="minorHAnsi" w:cs="Open Sans"/>
                <w:b w:val="0"/>
                <w:highlight w:val="yellow"/>
              </w:rPr>
            </w:pPr>
            <w:hyperlink r:id="rId10" w:history="1">
              <w:r w:rsidR="00764C78" w:rsidRPr="00213D64">
                <w:rPr>
                  <w:rStyle w:val="Hyperlink"/>
                  <w:rFonts w:asciiTheme="minorHAnsi" w:hAnsiTheme="minorHAnsi"/>
                  <w:b w:val="0"/>
                  <w:sz w:val="20"/>
                </w:rPr>
                <w:t>https://documents.egi.eu/document/463</w:t>
              </w:r>
            </w:hyperlink>
            <w:r w:rsidR="00764C78">
              <w:rPr>
                <w:rFonts w:asciiTheme="minorHAnsi" w:hAnsiTheme="minorHAnsi"/>
                <w:b w:val="0"/>
                <w:sz w:val="2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5E23FDFC" w14:textId="77777777" w:rsidR="005349BE" w:rsidRDefault="005349BE">
      <w:pPr>
        <w:spacing w:after="200"/>
        <w:jc w:val="left"/>
      </w:pPr>
    </w:p>
    <w:p w14:paraId="09034969" w14:textId="77777777" w:rsidR="005349BE" w:rsidRDefault="005349BE">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4C617568" w14:textId="77777777" w:rsidR="00EE5DE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8325309" w:history="1">
            <w:r w:rsidR="00EE5DE0" w:rsidRPr="003B5A23">
              <w:rPr>
                <w:rStyle w:val="Hyperlink"/>
                <w:noProof/>
              </w:rPr>
              <w:t>1</w:t>
            </w:r>
            <w:r w:rsidR="00EE5DE0">
              <w:rPr>
                <w:rFonts w:asciiTheme="minorHAnsi" w:eastAsiaTheme="minorEastAsia" w:hAnsiTheme="minorHAnsi"/>
                <w:noProof/>
                <w:spacing w:val="0"/>
                <w:lang w:eastAsia="en-GB"/>
              </w:rPr>
              <w:tab/>
            </w:r>
            <w:r w:rsidR="00EE5DE0" w:rsidRPr="003B5A23">
              <w:rPr>
                <w:rStyle w:val="Hyperlink"/>
                <w:noProof/>
              </w:rPr>
              <w:t>The Services</w:t>
            </w:r>
            <w:r w:rsidR="00EE5DE0">
              <w:rPr>
                <w:noProof/>
                <w:webHidden/>
              </w:rPr>
              <w:tab/>
            </w:r>
            <w:r w:rsidR="00EE5DE0">
              <w:rPr>
                <w:noProof/>
                <w:webHidden/>
              </w:rPr>
              <w:fldChar w:fldCharType="begin"/>
            </w:r>
            <w:r w:rsidR="00EE5DE0">
              <w:rPr>
                <w:noProof/>
                <w:webHidden/>
              </w:rPr>
              <w:instrText xml:space="preserve"> PAGEREF _Toc448325309 \h </w:instrText>
            </w:r>
            <w:r w:rsidR="00EE5DE0">
              <w:rPr>
                <w:noProof/>
                <w:webHidden/>
              </w:rPr>
            </w:r>
            <w:r w:rsidR="00EE5DE0">
              <w:rPr>
                <w:noProof/>
                <w:webHidden/>
              </w:rPr>
              <w:fldChar w:fldCharType="separate"/>
            </w:r>
            <w:r w:rsidR="00EE5DE0">
              <w:rPr>
                <w:noProof/>
                <w:webHidden/>
              </w:rPr>
              <w:t>4</w:t>
            </w:r>
            <w:r w:rsidR="00EE5DE0">
              <w:rPr>
                <w:noProof/>
                <w:webHidden/>
              </w:rPr>
              <w:fldChar w:fldCharType="end"/>
            </w:r>
          </w:hyperlink>
        </w:p>
        <w:p w14:paraId="51E1ED2C"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10" w:history="1">
            <w:r w:rsidR="00EE5DE0" w:rsidRPr="003B5A23">
              <w:rPr>
                <w:rStyle w:val="Hyperlink"/>
                <w:noProof/>
              </w:rPr>
              <w:t>2</w:t>
            </w:r>
            <w:r w:rsidR="00EE5DE0">
              <w:rPr>
                <w:rFonts w:asciiTheme="minorHAnsi" w:eastAsiaTheme="minorEastAsia" w:hAnsiTheme="minorHAnsi"/>
                <w:noProof/>
                <w:spacing w:val="0"/>
                <w:lang w:eastAsia="en-GB"/>
              </w:rPr>
              <w:tab/>
            </w:r>
            <w:r w:rsidR="00EE5DE0" w:rsidRPr="003B5A23">
              <w:rPr>
                <w:rStyle w:val="Hyperlink"/>
                <w:noProof/>
              </w:rPr>
              <w:t>Service hours and exceptions</w:t>
            </w:r>
            <w:r w:rsidR="00EE5DE0">
              <w:rPr>
                <w:noProof/>
                <w:webHidden/>
              </w:rPr>
              <w:tab/>
            </w:r>
            <w:r w:rsidR="00EE5DE0">
              <w:rPr>
                <w:noProof/>
                <w:webHidden/>
              </w:rPr>
              <w:fldChar w:fldCharType="begin"/>
            </w:r>
            <w:r w:rsidR="00EE5DE0">
              <w:rPr>
                <w:noProof/>
                <w:webHidden/>
              </w:rPr>
              <w:instrText xml:space="preserve"> PAGEREF _Toc448325310 \h </w:instrText>
            </w:r>
            <w:r w:rsidR="00EE5DE0">
              <w:rPr>
                <w:noProof/>
                <w:webHidden/>
              </w:rPr>
            </w:r>
            <w:r w:rsidR="00EE5DE0">
              <w:rPr>
                <w:noProof/>
                <w:webHidden/>
              </w:rPr>
              <w:fldChar w:fldCharType="separate"/>
            </w:r>
            <w:r w:rsidR="00EE5DE0">
              <w:rPr>
                <w:noProof/>
                <w:webHidden/>
              </w:rPr>
              <w:t>5</w:t>
            </w:r>
            <w:r w:rsidR="00EE5DE0">
              <w:rPr>
                <w:noProof/>
                <w:webHidden/>
              </w:rPr>
              <w:fldChar w:fldCharType="end"/>
            </w:r>
          </w:hyperlink>
        </w:p>
        <w:p w14:paraId="63549B61"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11" w:history="1">
            <w:r w:rsidR="00EE5DE0" w:rsidRPr="003B5A23">
              <w:rPr>
                <w:rStyle w:val="Hyperlink"/>
                <w:noProof/>
              </w:rPr>
              <w:t>3</w:t>
            </w:r>
            <w:r w:rsidR="00EE5DE0">
              <w:rPr>
                <w:rFonts w:asciiTheme="minorHAnsi" w:eastAsiaTheme="minorEastAsia" w:hAnsiTheme="minorHAnsi"/>
                <w:noProof/>
                <w:spacing w:val="0"/>
                <w:lang w:eastAsia="en-GB"/>
              </w:rPr>
              <w:tab/>
            </w:r>
            <w:r w:rsidR="00EE5DE0" w:rsidRPr="003B5A23">
              <w:rPr>
                <w:rStyle w:val="Hyperlink"/>
                <w:noProof/>
              </w:rPr>
              <w:t>Support</w:t>
            </w:r>
            <w:r w:rsidR="00EE5DE0">
              <w:rPr>
                <w:noProof/>
                <w:webHidden/>
              </w:rPr>
              <w:tab/>
            </w:r>
            <w:r w:rsidR="00EE5DE0">
              <w:rPr>
                <w:noProof/>
                <w:webHidden/>
              </w:rPr>
              <w:fldChar w:fldCharType="begin"/>
            </w:r>
            <w:r w:rsidR="00EE5DE0">
              <w:rPr>
                <w:noProof/>
                <w:webHidden/>
              </w:rPr>
              <w:instrText xml:space="preserve"> PAGEREF _Toc448325311 \h </w:instrText>
            </w:r>
            <w:r w:rsidR="00EE5DE0">
              <w:rPr>
                <w:noProof/>
                <w:webHidden/>
              </w:rPr>
            </w:r>
            <w:r w:rsidR="00EE5DE0">
              <w:rPr>
                <w:noProof/>
                <w:webHidden/>
              </w:rPr>
              <w:fldChar w:fldCharType="separate"/>
            </w:r>
            <w:r w:rsidR="00EE5DE0">
              <w:rPr>
                <w:noProof/>
                <w:webHidden/>
              </w:rPr>
              <w:t>6</w:t>
            </w:r>
            <w:r w:rsidR="00EE5DE0">
              <w:rPr>
                <w:noProof/>
                <w:webHidden/>
              </w:rPr>
              <w:fldChar w:fldCharType="end"/>
            </w:r>
          </w:hyperlink>
        </w:p>
        <w:p w14:paraId="3FD9D5BE"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12" w:history="1">
            <w:r w:rsidR="00EE5DE0" w:rsidRPr="003B5A23">
              <w:rPr>
                <w:rStyle w:val="Hyperlink"/>
                <w:noProof/>
              </w:rPr>
              <w:t>3.1</w:t>
            </w:r>
            <w:r w:rsidR="00EE5DE0">
              <w:rPr>
                <w:rFonts w:asciiTheme="minorHAnsi" w:eastAsiaTheme="minorEastAsia" w:hAnsiTheme="minorHAnsi"/>
                <w:noProof/>
                <w:spacing w:val="0"/>
                <w:lang w:eastAsia="en-GB"/>
              </w:rPr>
              <w:tab/>
            </w:r>
            <w:r w:rsidR="00EE5DE0" w:rsidRPr="003B5A23">
              <w:rPr>
                <w:rStyle w:val="Hyperlink"/>
                <w:noProof/>
              </w:rPr>
              <w:t>Incident handling</w:t>
            </w:r>
            <w:r w:rsidR="00EE5DE0">
              <w:rPr>
                <w:noProof/>
                <w:webHidden/>
              </w:rPr>
              <w:tab/>
            </w:r>
            <w:r w:rsidR="00EE5DE0">
              <w:rPr>
                <w:noProof/>
                <w:webHidden/>
              </w:rPr>
              <w:fldChar w:fldCharType="begin"/>
            </w:r>
            <w:r w:rsidR="00EE5DE0">
              <w:rPr>
                <w:noProof/>
                <w:webHidden/>
              </w:rPr>
              <w:instrText xml:space="preserve"> PAGEREF _Toc448325312 \h </w:instrText>
            </w:r>
            <w:r w:rsidR="00EE5DE0">
              <w:rPr>
                <w:noProof/>
                <w:webHidden/>
              </w:rPr>
            </w:r>
            <w:r w:rsidR="00EE5DE0">
              <w:rPr>
                <w:noProof/>
                <w:webHidden/>
              </w:rPr>
              <w:fldChar w:fldCharType="separate"/>
            </w:r>
            <w:r w:rsidR="00EE5DE0">
              <w:rPr>
                <w:noProof/>
                <w:webHidden/>
              </w:rPr>
              <w:t>6</w:t>
            </w:r>
            <w:r w:rsidR="00EE5DE0">
              <w:rPr>
                <w:noProof/>
                <w:webHidden/>
              </w:rPr>
              <w:fldChar w:fldCharType="end"/>
            </w:r>
          </w:hyperlink>
        </w:p>
        <w:p w14:paraId="22E9BD61"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13" w:history="1">
            <w:r w:rsidR="00EE5DE0" w:rsidRPr="003B5A23">
              <w:rPr>
                <w:rStyle w:val="Hyperlink"/>
                <w:noProof/>
              </w:rPr>
              <w:t>3.2</w:t>
            </w:r>
            <w:r w:rsidR="00EE5DE0">
              <w:rPr>
                <w:rFonts w:asciiTheme="minorHAnsi" w:eastAsiaTheme="minorEastAsia" w:hAnsiTheme="minorHAnsi"/>
                <w:noProof/>
                <w:spacing w:val="0"/>
                <w:lang w:eastAsia="en-GB"/>
              </w:rPr>
              <w:tab/>
            </w:r>
            <w:r w:rsidR="00EE5DE0" w:rsidRPr="003B5A23">
              <w:rPr>
                <w:rStyle w:val="Hyperlink"/>
                <w:noProof/>
              </w:rPr>
              <w:t>Service requests</w:t>
            </w:r>
            <w:r w:rsidR="00EE5DE0">
              <w:rPr>
                <w:noProof/>
                <w:webHidden/>
              </w:rPr>
              <w:tab/>
            </w:r>
            <w:r w:rsidR="00EE5DE0">
              <w:rPr>
                <w:noProof/>
                <w:webHidden/>
              </w:rPr>
              <w:fldChar w:fldCharType="begin"/>
            </w:r>
            <w:r w:rsidR="00EE5DE0">
              <w:rPr>
                <w:noProof/>
                <w:webHidden/>
              </w:rPr>
              <w:instrText xml:space="preserve"> PAGEREF _Toc448325313 \h </w:instrText>
            </w:r>
            <w:r w:rsidR="00EE5DE0">
              <w:rPr>
                <w:noProof/>
                <w:webHidden/>
              </w:rPr>
            </w:r>
            <w:r w:rsidR="00EE5DE0">
              <w:rPr>
                <w:noProof/>
                <w:webHidden/>
              </w:rPr>
              <w:fldChar w:fldCharType="separate"/>
            </w:r>
            <w:r w:rsidR="00EE5DE0">
              <w:rPr>
                <w:noProof/>
                <w:webHidden/>
              </w:rPr>
              <w:t>7</w:t>
            </w:r>
            <w:r w:rsidR="00EE5DE0">
              <w:rPr>
                <w:noProof/>
                <w:webHidden/>
              </w:rPr>
              <w:fldChar w:fldCharType="end"/>
            </w:r>
          </w:hyperlink>
        </w:p>
        <w:p w14:paraId="7C130687"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14" w:history="1">
            <w:r w:rsidR="00EE5DE0" w:rsidRPr="003B5A23">
              <w:rPr>
                <w:rStyle w:val="Hyperlink"/>
                <w:noProof/>
              </w:rPr>
              <w:t>4</w:t>
            </w:r>
            <w:r w:rsidR="00EE5DE0">
              <w:rPr>
                <w:rFonts w:asciiTheme="minorHAnsi" w:eastAsiaTheme="minorEastAsia" w:hAnsiTheme="minorHAnsi"/>
                <w:noProof/>
                <w:spacing w:val="0"/>
                <w:lang w:eastAsia="en-GB"/>
              </w:rPr>
              <w:tab/>
            </w:r>
            <w:r w:rsidR="00EE5DE0" w:rsidRPr="003B5A23">
              <w:rPr>
                <w:rStyle w:val="Hyperlink"/>
                <w:noProof/>
              </w:rPr>
              <w:t>Service level targets</w:t>
            </w:r>
            <w:r w:rsidR="00EE5DE0">
              <w:rPr>
                <w:noProof/>
                <w:webHidden/>
              </w:rPr>
              <w:tab/>
            </w:r>
            <w:r w:rsidR="00EE5DE0">
              <w:rPr>
                <w:noProof/>
                <w:webHidden/>
              </w:rPr>
              <w:fldChar w:fldCharType="begin"/>
            </w:r>
            <w:r w:rsidR="00EE5DE0">
              <w:rPr>
                <w:noProof/>
                <w:webHidden/>
              </w:rPr>
              <w:instrText xml:space="preserve"> PAGEREF _Toc448325314 \h </w:instrText>
            </w:r>
            <w:r w:rsidR="00EE5DE0">
              <w:rPr>
                <w:noProof/>
                <w:webHidden/>
              </w:rPr>
            </w:r>
            <w:r w:rsidR="00EE5DE0">
              <w:rPr>
                <w:noProof/>
                <w:webHidden/>
              </w:rPr>
              <w:fldChar w:fldCharType="separate"/>
            </w:r>
            <w:r w:rsidR="00EE5DE0">
              <w:rPr>
                <w:noProof/>
                <w:webHidden/>
              </w:rPr>
              <w:t>7</w:t>
            </w:r>
            <w:r w:rsidR="00EE5DE0">
              <w:rPr>
                <w:noProof/>
                <w:webHidden/>
              </w:rPr>
              <w:fldChar w:fldCharType="end"/>
            </w:r>
          </w:hyperlink>
        </w:p>
        <w:p w14:paraId="00EE7683"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15" w:history="1">
            <w:r w:rsidR="00EE5DE0" w:rsidRPr="003B5A23">
              <w:rPr>
                <w:rStyle w:val="Hyperlink"/>
                <w:noProof/>
              </w:rPr>
              <w:t>5</w:t>
            </w:r>
            <w:r w:rsidR="00EE5DE0">
              <w:rPr>
                <w:rFonts w:asciiTheme="minorHAnsi" w:eastAsiaTheme="minorEastAsia" w:hAnsiTheme="minorHAnsi"/>
                <w:noProof/>
                <w:spacing w:val="0"/>
                <w:lang w:eastAsia="en-GB"/>
              </w:rPr>
              <w:tab/>
            </w:r>
            <w:r w:rsidR="00EE5DE0" w:rsidRPr="003B5A23">
              <w:rPr>
                <w:rStyle w:val="Hyperlink"/>
                <w:noProof/>
              </w:rPr>
              <w:t>Limitations and constraints</w:t>
            </w:r>
            <w:r w:rsidR="00EE5DE0">
              <w:rPr>
                <w:noProof/>
                <w:webHidden/>
              </w:rPr>
              <w:tab/>
            </w:r>
            <w:r w:rsidR="00EE5DE0">
              <w:rPr>
                <w:noProof/>
                <w:webHidden/>
              </w:rPr>
              <w:fldChar w:fldCharType="begin"/>
            </w:r>
            <w:r w:rsidR="00EE5DE0">
              <w:rPr>
                <w:noProof/>
                <w:webHidden/>
              </w:rPr>
              <w:instrText xml:space="preserve"> PAGEREF _Toc448325315 \h </w:instrText>
            </w:r>
            <w:r w:rsidR="00EE5DE0">
              <w:rPr>
                <w:noProof/>
                <w:webHidden/>
              </w:rPr>
            </w:r>
            <w:r w:rsidR="00EE5DE0">
              <w:rPr>
                <w:noProof/>
                <w:webHidden/>
              </w:rPr>
              <w:fldChar w:fldCharType="separate"/>
            </w:r>
            <w:r w:rsidR="00EE5DE0">
              <w:rPr>
                <w:noProof/>
                <w:webHidden/>
              </w:rPr>
              <w:t>7</w:t>
            </w:r>
            <w:r w:rsidR="00EE5DE0">
              <w:rPr>
                <w:noProof/>
                <w:webHidden/>
              </w:rPr>
              <w:fldChar w:fldCharType="end"/>
            </w:r>
          </w:hyperlink>
        </w:p>
        <w:p w14:paraId="574530AB"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16" w:history="1">
            <w:r w:rsidR="00EE5DE0" w:rsidRPr="003B5A23">
              <w:rPr>
                <w:rStyle w:val="Hyperlink"/>
                <w:noProof/>
              </w:rPr>
              <w:t>6</w:t>
            </w:r>
            <w:r w:rsidR="00EE5DE0">
              <w:rPr>
                <w:rFonts w:asciiTheme="minorHAnsi" w:eastAsiaTheme="minorEastAsia" w:hAnsiTheme="minorHAnsi"/>
                <w:noProof/>
                <w:spacing w:val="0"/>
                <w:lang w:eastAsia="en-GB"/>
              </w:rPr>
              <w:tab/>
            </w:r>
            <w:r w:rsidR="00EE5DE0" w:rsidRPr="003B5A23">
              <w:rPr>
                <w:rStyle w:val="Hyperlink"/>
                <w:noProof/>
              </w:rPr>
              <w:t>Communication, reporting and escalation</w:t>
            </w:r>
            <w:r w:rsidR="00EE5DE0">
              <w:rPr>
                <w:noProof/>
                <w:webHidden/>
              </w:rPr>
              <w:tab/>
            </w:r>
            <w:r w:rsidR="00EE5DE0">
              <w:rPr>
                <w:noProof/>
                <w:webHidden/>
              </w:rPr>
              <w:fldChar w:fldCharType="begin"/>
            </w:r>
            <w:r w:rsidR="00EE5DE0">
              <w:rPr>
                <w:noProof/>
                <w:webHidden/>
              </w:rPr>
              <w:instrText xml:space="preserve"> PAGEREF _Toc448325316 \h </w:instrText>
            </w:r>
            <w:r w:rsidR="00EE5DE0">
              <w:rPr>
                <w:noProof/>
                <w:webHidden/>
              </w:rPr>
            </w:r>
            <w:r w:rsidR="00EE5DE0">
              <w:rPr>
                <w:noProof/>
                <w:webHidden/>
              </w:rPr>
              <w:fldChar w:fldCharType="separate"/>
            </w:r>
            <w:r w:rsidR="00EE5DE0">
              <w:rPr>
                <w:noProof/>
                <w:webHidden/>
              </w:rPr>
              <w:t>8</w:t>
            </w:r>
            <w:r w:rsidR="00EE5DE0">
              <w:rPr>
                <w:noProof/>
                <w:webHidden/>
              </w:rPr>
              <w:fldChar w:fldCharType="end"/>
            </w:r>
          </w:hyperlink>
        </w:p>
        <w:p w14:paraId="1468E8FD"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17" w:history="1">
            <w:r w:rsidR="00EE5DE0" w:rsidRPr="003B5A23">
              <w:rPr>
                <w:rStyle w:val="Hyperlink"/>
                <w:noProof/>
              </w:rPr>
              <w:t>6.1</w:t>
            </w:r>
            <w:r w:rsidR="00EE5DE0">
              <w:rPr>
                <w:rFonts w:asciiTheme="minorHAnsi" w:eastAsiaTheme="minorEastAsia" w:hAnsiTheme="minorHAnsi"/>
                <w:noProof/>
                <w:spacing w:val="0"/>
                <w:lang w:eastAsia="en-GB"/>
              </w:rPr>
              <w:tab/>
            </w:r>
            <w:r w:rsidR="00EE5DE0" w:rsidRPr="003B5A23">
              <w:rPr>
                <w:rStyle w:val="Hyperlink"/>
                <w:noProof/>
              </w:rPr>
              <w:t>General communication</w:t>
            </w:r>
            <w:r w:rsidR="00EE5DE0">
              <w:rPr>
                <w:noProof/>
                <w:webHidden/>
              </w:rPr>
              <w:tab/>
            </w:r>
            <w:r w:rsidR="00EE5DE0">
              <w:rPr>
                <w:noProof/>
                <w:webHidden/>
              </w:rPr>
              <w:fldChar w:fldCharType="begin"/>
            </w:r>
            <w:r w:rsidR="00EE5DE0">
              <w:rPr>
                <w:noProof/>
                <w:webHidden/>
              </w:rPr>
              <w:instrText xml:space="preserve"> PAGEREF _Toc448325317 \h </w:instrText>
            </w:r>
            <w:r w:rsidR="00EE5DE0">
              <w:rPr>
                <w:noProof/>
                <w:webHidden/>
              </w:rPr>
            </w:r>
            <w:r w:rsidR="00EE5DE0">
              <w:rPr>
                <w:noProof/>
                <w:webHidden/>
              </w:rPr>
              <w:fldChar w:fldCharType="separate"/>
            </w:r>
            <w:r w:rsidR="00EE5DE0">
              <w:rPr>
                <w:noProof/>
                <w:webHidden/>
              </w:rPr>
              <w:t>8</w:t>
            </w:r>
            <w:r w:rsidR="00EE5DE0">
              <w:rPr>
                <w:noProof/>
                <w:webHidden/>
              </w:rPr>
              <w:fldChar w:fldCharType="end"/>
            </w:r>
          </w:hyperlink>
        </w:p>
        <w:p w14:paraId="17BF0130"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18" w:history="1">
            <w:r w:rsidR="00EE5DE0" w:rsidRPr="003B5A23">
              <w:rPr>
                <w:rStyle w:val="Hyperlink"/>
                <w:noProof/>
              </w:rPr>
              <w:t>6.2</w:t>
            </w:r>
            <w:r w:rsidR="00EE5DE0">
              <w:rPr>
                <w:rFonts w:asciiTheme="minorHAnsi" w:eastAsiaTheme="minorEastAsia" w:hAnsiTheme="minorHAnsi"/>
                <w:noProof/>
                <w:spacing w:val="0"/>
                <w:lang w:eastAsia="en-GB"/>
              </w:rPr>
              <w:tab/>
            </w:r>
            <w:r w:rsidR="00EE5DE0" w:rsidRPr="003B5A23">
              <w:rPr>
                <w:rStyle w:val="Hyperlink"/>
                <w:noProof/>
              </w:rPr>
              <w:t>Regular reporting</w:t>
            </w:r>
            <w:r w:rsidR="00EE5DE0">
              <w:rPr>
                <w:noProof/>
                <w:webHidden/>
              </w:rPr>
              <w:tab/>
            </w:r>
            <w:r w:rsidR="00EE5DE0">
              <w:rPr>
                <w:noProof/>
                <w:webHidden/>
              </w:rPr>
              <w:fldChar w:fldCharType="begin"/>
            </w:r>
            <w:r w:rsidR="00EE5DE0">
              <w:rPr>
                <w:noProof/>
                <w:webHidden/>
              </w:rPr>
              <w:instrText xml:space="preserve"> PAGEREF _Toc448325318 \h </w:instrText>
            </w:r>
            <w:r w:rsidR="00EE5DE0">
              <w:rPr>
                <w:noProof/>
                <w:webHidden/>
              </w:rPr>
            </w:r>
            <w:r w:rsidR="00EE5DE0">
              <w:rPr>
                <w:noProof/>
                <w:webHidden/>
              </w:rPr>
              <w:fldChar w:fldCharType="separate"/>
            </w:r>
            <w:r w:rsidR="00EE5DE0">
              <w:rPr>
                <w:noProof/>
                <w:webHidden/>
              </w:rPr>
              <w:t>8</w:t>
            </w:r>
            <w:r w:rsidR="00EE5DE0">
              <w:rPr>
                <w:noProof/>
                <w:webHidden/>
              </w:rPr>
              <w:fldChar w:fldCharType="end"/>
            </w:r>
          </w:hyperlink>
        </w:p>
        <w:p w14:paraId="159D48A9"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19" w:history="1">
            <w:r w:rsidR="00EE5DE0" w:rsidRPr="003B5A23">
              <w:rPr>
                <w:rStyle w:val="Hyperlink"/>
                <w:noProof/>
              </w:rPr>
              <w:t>6.3</w:t>
            </w:r>
            <w:r w:rsidR="00EE5DE0">
              <w:rPr>
                <w:rFonts w:asciiTheme="minorHAnsi" w:eastAsiaTheme="minorEastAsia" w:hAnsiTheme="minorHAnsi"/>
                <w:noProof/>
                <w:spacing w:val="0"/>
                <w:lang w:eastAsia="en-GB"/>
              </w:rPr>
              <w:tab/>
            </w:r>
            <w:r w:rsidR="00EE5DE0" w:rsidRPr="003B5A23">
              <w:rPr>
                <w:rStyle w:val="Hyperlink"/>
                <w:noProof/>
              </w:rPr>
              <w:t>Violations</w:t>
            </w:r>
            <w:r w:rsidR="00EE5DE0">
              <w:rPr>
                <w:noProof/>
                <w:webHidden/>
              </w:rPr>
              <w:tab/>
            </w:r>
            <w:r w:rsidR="00EE5DE0">
              <w:rPr>
                <w:noProof/>
                <w:webHidden/>
              </w:rPr>
              <w:fldChar w:fldCharType="begin"/>
            </w:r>
            <w:r w:rsidR="00EE5DE0">
              <w:rPr>
                <w:noProof/>
                <w:webHidden/>
              </w:rPr>
              <w:instrText xml:space="preserve"> PAGEREF _Toc448325319 \h </w:instrText>
            </w:r>
            <w:r w:rsidR="00EE5DE0">
              <w:rPr>
                <w:noProof/>
                <w:webHidden/>
              </w:rPr>
            </w:r>
            <w:r w:rsidR="00EE5DE0">
              <w:rPr>
                <w:noProof/>
                <w:webHidden/>
              </w:rPr>
              <w:fldChar w:fldCharType="separate"/>
            </w:r>
            <w:r w:rsidR="00EE5DE0">
              <w:rPr>
                <w:noProof/>
                <w:webHidden/>
              </w:rPr>
              <w:t>8</w:t>
            </w:r>
            <w:r w:rsidR="00EE5DE0">
              <w:rPr>
                <w:noProof/>
                <w:webHidden/>
              </w:rPr>
              <w:fldChar w:fldCharType="end"/>
            </w:r>
          </w:hyperlink>
        </w:p>
        <w:p w14:paraId="4DF9340A"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20" w:history="1">
            <w:r w:rsidR="00EE5DE0" w:rsidRPr="003B5A23">
              <w:rPr>
                <w:rStyle w:val="Hyperlink"/>
                <w:noProof/>
              </w:rPr>
              <w:t>6.4</w:t>
            </w:r>
            <w:r w:rsidR="00EE5DE0">
              <w:rPr>
                <w:rFonts w:asciiTheme="minorHAnsi" w:eastAsiaTheme="minorEastAsia" w:hAnsiTheme="minorHAnsi"/>
                <w:noProof/>
                <w:spacing w:val="0"/>
                <w:lang w:eastAsia="en-GB"/>
              </w:rPr>
              <w:tab/>
            </w:r>
            <w:r w:rsidR="00EE5DE0" w:rsidRPr="003B5A23">
              <w:rPr>
                <w:rStyle w:val="Hyperlink"/>
                <w:noProof/>
              </w:rPr>
              <w:t>Escalation and complaints</w:t>
            </w:r>
            <w:r w:rsidR="00EE5DE0">
              <w:rPr>
                <w:noProof/>
                <w:webHidden/>
              </w:rPr>
              <w:tab/>
            </w:r>
            <w:r w:rsidR="00EE5DE0">
              <w:rPr>
                <w:noProof/>
                <w:webHidden/>
              </w:rPr>
              <w:fldChar w:fldCharType="begin"/>
            </w:r>
            <w:r w:rsidR="00EE5DE0">
              <w:rPr>
                <w:noProof/>
                <w:webHidden/>
              </w:rPr>
              <w:instrText xml:space="preserve"> PAGEREF _Toc448325320 \h </w:instrText>
            </w:r>
            <w:r w:rsidR="00EE5DE0">
              <w:rPr>
                <w:noProof/>
                <w:webHidden/>
              </w:rPr>
            </w:r>
            <w:r w:rsidR="00EE5DE0">
              <w:rPr>
                <w:noProof/>
                <w:webHidden/>
              </w:rPr>
              <w:fldChar w:fldCharType="separate"/>
            </w:r>
            <w:r w:rsidR="00EE5DE0">
              <w:rPr>
                <w:noProof/>
                <w:webHidden/>
              </w:rPr>
              <w:t>8</w:t>
            </w:r>
            <w:r w:rsidR="00EE5DE0">
              <w:rPr>
                <w:noProof/>
                <w:webHidden/>
              </w:rPr>
              <w:fldChar w:fldCharType="end"/>
            </w:r>
          </w:hyperlink>
        </w:p>
        <w:p w14:paraId="6C4E49C2"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21" w:history="1">
            <w:r w:rsidR="00EE5DE0" w:rsidRPr="003B5A23">
              <w:rPr>
                <w:rStyle w:val="Hyperlink"/>
                <w:noProof/>
              </w:rPr>
              <w:t>7</w:t>
            </w:r>
            <w:r w:rsidR="00EE5DE0">
              <w:rPr>
                <w:rFonts w:asciiTheme="minorHAnsi" w:eastAsiaTheme="minorEastAsia" w:hAnsiTheme="minorHAnsi"/>
                <w:noProof/>
                <w:spacing w:val="0"/>
                <w:lang w:eastAsia="en-GB"/>
              </w:rPr>
              <w:tab/>
            </w:r>
            <w:r w:rsidR="00EE5DE0" w:rsidRPr="003B5A23">
              <w:rPr>
                <w:rStyle w:val="Hyperlink"/>
                <w:noProof/>
              </w:rPr>
              <w:t>Information security and data protection</w:t>
            </w:r>
            <w:r w:rsidR="00EE5DE0">
              <w:rPr>
                <w:noProof/>
                <w:webHidden/>
              </w:rPr>
              <w:tab/>
            </w:r>
            <w:r w:rsidR="00EE5DE0">
              <w:rPr>
                <w:noProof/>
                <w:webHidden/>
              </w:rPr>
              <w:fldChar w:fldCharType="begin"/>
            </w:r>
            <w:r w:rsidR="00EE5DE0">
              <w:rPr>
                <w:noProof/>
                <w:webHidden/>
              </w:rPr>
              <w:instrText xml:space="preserve"> PAGEREF _Toc448325321 \h </w:instrText>
            </w:r>
            <w:r w:rsidR="00EE5DE0">
              <w:rPr>
                <w:noProof/>
                <w:webHidden/>
              </w:rPr>
            </w:r>
            <w:r w:rsidR="00EE5DE0">
              <w:rPr>
                <w:noProof/>
                <w:webHidden/>
              </w:rPr>
              <w:fldChar w:fldCharType="separate"/>
            </w:r>
            <w:r w:rsidR="00EE5DE0">
              <w:rPr>
                <w:noProof/>
                <w:webHidden/>
              </w:rPr>
              <w:t>9</w:t>
            </w:r>
            <w:r w:rsidR="00EE5DE0">
              <w:rPr>
                <w:noProof/>
                <w:webHidden/>
              </w:rPr>
              <w:fldChar w:fldCharType="end"/>
            </w:r>
          </w:hyperlink>
        </w:p>
        <w:p w14:paraId="1270876C"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22" w:history="1">
            <w:r w:rsidR="00EE5DE0" w:rsidRPr="003B5A23">
              <w:rPr>
                <w:rStyle w:val="Hyperlink"/>
                <w:noProof/>
              </w:rPr>
              <w:t>8</w:t>
            </w:r>
            <w:r w:rsidR="00EE5DE0">
              <w:rPr>
                <w:rFonts w:asciiTheme="minorHAnsi" w:eastAsiaTheme="minorEastAsia" w:hAnsiTheme="minorHAnsi"/>
                <w:noProof/>
                <w:spacing w:val="0"/>
                <w:lang w:eastAsia="en-GB"/>
              </w:rPr>
              <w:tab/>
            </w:r>
            <w:r w:rsidR="00EE5DE0" w:rsidRPr="003B5A23">
              <w:rPr>
                <w:rStyle w:val="Hyperlink"/>
                <w:noProof/>
              </w:rPr>
              <w:t>Responsibilities</w:t>
            </w:r>
            <w:r w:rsidR="00EE5DE0">
              <w:rPr>
                <w:noProof/>
                <w:webHidden/>
              </w:rPr>
              <w:tab/>
            </w:r>
            <w:r w:rsidR="00EE5DE0">
              <w:rPr>
                <w:noProof/>
                <w:webHidden/>
              </w:rPr>
              <w:fldChar w:fldCharType="begin"/>
            </w:r>
            <w:r w:rsidR="00EE5DE0">
              <w:rPr>
                <w:noProof/>
                <w:webHidden/>
              </w:rPr>
              <w:instrText xml:space="preserve"> PAGEREF _Toc448325322 \h </w:instrText>
            </w:r>
            <w:r w:rsidR="00EE5DE0">
              <w:rPr>
                <w:noProof/>
                <w:webHidden/>
              </w:rPr>
            </w:r>
            <w:r w:rsidR="00EE5DE0">
              <w:rPr>
                <w:noProof/>
                <w:webHidden/>
              </w:rPr>
              <w:fldChar w:fldCharType="separate"/>
            </w:r>
            <w:r w:rsidR="00EE5DE0">
              <w:rPr>
                <w:noProof/>
                <w:webHidden/>
              </w:rPr>
              <w:t>9</w:t>
            </w:r>
            <w:r w:rsidR="00EE5DE0">
              <w:rPr>
                <w:noProof/>
                <w:webHidden/>
              </w:rPr>
              <w:fldChar w:fldCharType="end"/>
            </w:r>
          </w:hyperlink>
        </w:p>
        <w:p w14:paraId="0207FBF3"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23" w:history="1">
            <w:r w:rsidR="00EE5DE0" w:rsidRPr="003B5A23">
              <w:rPr>
                <w:rStyle w:val="Hyperlink"/>
                <w:noProof/>
              </w:rPr>
              <w:t>8.1</w:t>
            </w:r>
            <w:r w:rsidR="00EE5DE0">
              <w:rPr>
                <w:rFonts w:asciiTheme="minorHAnsi" w:eastAsiaTheme="minorEastAsia" w:hAnsiTheme="minorHAnsi"/>
                <w:noProof/>
                <w:spacing w:val="0"/>
                <w:lang w:eastAsia="en-GB"/>
              </w:rPr>
              <w:tab/>
            </w:r>
            <w:r w:rsidR="00EE5DE0" w:rsidRPr="003B5A23">
              <w:rPr>
                <w:rStyle w:val="Hyperlink"/>
                <w:noProof/>
              </w:rPr>
              <w:t>Of the Provider</w:t>
            </w:r>
            <w:r w:rsidR="00EE5DE0">
              <w:rPr>
                <w:noProof/>
                <w:webHidden/>
              </w:rPr>
              <w:tab/>
            </w:r>
            <w:r w:rsidR="00EE5DE0">
              <w:rPr>
                <w:noProof/>
                <w:webHidden/>
              </w:rPr>
              <w:fldChar w:fldCharType="begin"/>
            </w:r>
            <w:r w:rsidR="00EE5DE0">
              <w:rPr>
                <w:noProof/>
                <w:webHidden/>
              </w:rPr>
              <w:instrText xml:space="preserve"> PAGEREF _Toc448325323 \h </w:instrText>
            </w:r>
            <w:r w:rsidR="00EE5DE0">
              <w:rPr>
                <w:noProof/>
                <w:webHidden/>
              </w:rPr>
            </w:r>
            <w:r w:rsidR="00EE5DE0">
              <w:rPr>
                <w:noProof/>
                <w:webHidden/>
              </w:rPr>
              <w:fldChar w:fldCharType="separate"/>
            </w:r>
            <w:r w:rsidR="00EE5DE0">
              <w:rPr>
                <w:noProof/>
                <w:webHidden/>
              </w:rPr>
              <w:t>9</w:t>
            </w:r>
            <w:r w:rsidR="00EE5DE0">
              <w:rPr>
                <w:noProof/>
                <w:webHidden/>
              </w:rPr>
              <w:fldChar w:fldCharType="end"/>
            </w:r>
          </w:hyperlink>
        </w:p>
        <w:p w14:paraId="07595839" w14:textId="77777777" w:rsidR="00EE5DE0" w:rsidRDefault="00D7091D">
          <w:pPr>
            <w:pStyle w:val="TOC2"/>
            <w:tabs>
              <w:tab w:val="left" w:pos="880"/>
              <w:tab w:val="right" w:leader="dot" w:pos="9016"/>
            </w:tabs>
            <w:rPr>
              <w:rFonts w:asciiTheme="minorHAnsi" w:eastAsiaTheme="minorEastAsia" w:hAnsiTheme="minorHAnsi"/>
              <w:noProof/>
              <w:spacing w:val="0"/>
              <w:lang w:eastAsia="en-GB"/>
            </w:rPr>
          </w:pPr>
          <w:hyperlink w:anchor="_Toc448325324" w:history="1">
            <w:r w:rsidR="00EE5DE0" w:rsidRPr="003B5A23">
              <w:rPr>
                <w:rStyle w:val="Hyperlink"/>
                <w:noProof/>
              </w:rPr>
              <w:t>8.2</w:t>
            </w:r>
            <w:r w:rsidR="00EE5DE0">
              <w:rPr>
                <w:rFonts w:asciiTheme="minorHAnsi" w:eastAsiaTheme="minorEastAsia" w:hAnsiTheme="minorHAnsi"/>
                <w:noProof/>
                <w:spacing w:val="0"/>
                <w:lang w:eastAsia="en-GB"/>
              </w:rPr>
              <w:tab/>
            </w:r>
            <w:r w:rsidR="00EE5DE0" w:rsidRPr="003B5A23">
              <w:rPr>
                <w:rStyle w:val="Hyperlink"/>
                <w:noProof/>
              </w:rPr>
              <w:t>Of the Customer</w:t>
            </w:r>
            <w:r w:rsidR="00EE5DE0">
              <w:rPr>
                <w:noProof/>
                <w:webHidden/>
              </w:rPr>
              <w:tab/>
            </w:r>
            <w:r w:rsidR="00EE5DE0">
              <w:rPr>
                <w:noProof/>
                <w:webHidden/>
              </w:rPr>
              <w:fldChar w:fldCharType="begin"/>
            </w:r>
            <w:r w:rsidR="00EE5DE0">
              <w:rPr>
                <w:noProof/>
                <w:webHidden/>
              </w:rPr>
              <w:instrText xml:space="preserve"> PAGEREF _Toc448325324 \h </w:instrText>
            </w:r>
            <w:r w:rsidR="00EE5DE0">
              <w:rPr>
                <w:noProof/>
                <w:webHidden/>
              </w:rPr>
            </w:r>
            <w:r w:rsidR="00EE5DE0">
              <w:rPr>
                <w:noProof/>
                <w:webHidden/>
              </w:rPr>
              <w:fldChar w:fldCharType="separate"/>
            </w:r>
            <w:r w:rsidR="00EE5DE0">
              <w:rPr>
                <w:noProof/>
                <w:webHidden/>
              </w:rPr>
              <w:t>10</w:t>
            </w:r>
            <w:r w:rsidR="00EE5DE0">
              <w:rPr>
                <w:noProof/>
                <w:webHidden/>
              </w:rPr>
              <w:fldChar w:fldCharType="end"/>
            </w:r>
          </w:hyperlink>
        </w:p>
        <w:p w14:paraId="099A2601" w14:textId="77777777" w:rsidR="00EE5DE0" w:rsidRDefault="00D7091D">
          <w:pPr>
            <w:pStyle w:val="TOC1"/>
            <w:tabs>
              <w:tab w:val="left" w:pos="400"/>
              <w:tab w:val="right" w:leader="dot" w:pos="9016"/>
            </w:tabs>
            <w:rPr>
              <w:rFonts w:asciiTheme="minorHAnsi" w:eastAsiaTheme="minorEastAsia" w:hAnsiTheme="minorHAnsi"/>
              <w:noProof/>
              <w:spacing w:val="0"/>
              <w:lang w:eastAsia="en-GB"/>
            </w:rPr>
          </w:pPr>
          <w:hyperlink w:anchor="_Toc448325325" w:history="1">
            <w:r w:rsidR="00EE5DE0" w:rsidRPr="003B5A23">
              <w:rPr>
                <w:rStyle w:val="Hyperlink"/>
                <w:noProof/>
              </w:rPr>
              <w:t>9</w:t>
            </w:r>
            <w:r w:rsidR="00EE5DE0">
              <w:rPr>
                <w:rFonts w:asciiTheme="minorHAnsi" w:eastAsiaTheme="minorEastAsia" w:hAnsiTheme="minorHAnsi"/>
                <w:noProof/>
                <w:spacing w:val="0"/>
                <w:lang w:eastAsia="en-GB"/>
              </w:rPr>
              <w:tab/>
            </w:r>
            <w:r w:rsidR="00EE5DE0" w:rsidRPr="003B5A23">
              <w:rPr>
                <w:rStyle w:val="Hyperlink"/>
                <w:noProof/>
              </w:rPr>
              <w:t>Review, extensions and termination</w:t>
            </w:r>
            <w:r w:rsidR="00EE5DE0">
              <w:rPr>
                <w:noProof/>
                <w:webHidden/>
              </w:rPr>
              <w:tab/>
            </w:r>
            <w:r w:rsidR="00EE5DE0">
              <w:rPr>
                <w:noProof/>
                <w:webHidden/>
              </w:rPr>
              <w:fldChar w:fldCharType="begin"/>
            </w:r>
            <w:r w:rsidR="00EE5DE0">
              <w:rPr>
                <w:noProof/>
                <w:webHidden/>
              </w:rPr>
              <w:instrText xml:space="preserve"> PAGEREF _Toc448325325 \h </w:instrText>
            </w:r>
            <w:r w:rsidR="00EE5DE0">
              <w:rPr>
                <w:noProof/>
                <w:webHidden/>
              </w:rPr>
            </w:r>
            <w:r w:rsidR="00EE5DE0">
              <w:rPr>
                <w:noProof/>
                <w:webHidden/>
              </w:rPr>
              <w:fldChar w:fldCharType="separate"/>
            </w:r>
            <w:r w:rsidR="00EE5DE0">
              <w:rPr>
                <w:noProof/>
                <w:webHidden/>
              </w:rPr>
              <w:t>11</w:t>
            </w:r>
            <w:r w:rsidR="00EE5DE0">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1CD334C" w:rsidR="00CE1F5A" w:rsidRDefault="00CE1F5A" w:rsidP="00CE1F5A">
      <w:r>
        <w:lastRenderedPageBreak/>
        <w:t xml:space="preserve">The present </w:t>
      </w:r>
      <w:r w:rsidR="0063063E">
        <w:t>Operation</w:t>
      </w:r>
      <w:r w:rsidR="00C8648B">
        <w:t>al</w:t>
      </w:r>
      <w:r>
        <w:t xml:space="preserve"> Level Agreement (“the Agreement’) is made between </w:t>
      </w:r>
      <w:r w:rsidR="00764C78">
        <w:rPr>
          <w:b/>
        </w:rPr>
        <w:t>EGI</w:t>
      </w:r>
      <w:r w:rsidR="00764C78" w:rsidRPr="00764C78">
        <w:rPr>
          <w:b/>
        </w:rPr>
        <w:t xml:space="preserve">.eu </w:t>
      </w:r>
      <w:r w:rsidRPr="006D1955">
        <w:rPr>
          <w:b/>
        </w:rPr>
        <w:t>(</w:t>
      </w:r>
      <w:r w:rsidR="0063063E">
        <w:rPr>
          <w:b/>
        </w:rPr>
        <w:t>the Customer</w:t>
      </w:r>
      <w:r w:rsidRPr="006D1955">
        <w:rPr>
          <w:b/>
        </w:rPr>
        <w:t>)</w:t>
      </w:r>
      <w:r>
        <w:t xml:space="preserve"> and </w:t>
      </w:r>
      <w:r w:rsidR="00764C78" w:rsidRPr="005349BE">
        <w:rPr>
          <w:rFonts w:cs="Open Sans"/>
          <w:b/>
        </w:rPr>
        <w:t>Resource Infrastructure Provider</w:t>
      </w:r>
      <w:r w:rsidR="00764C7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6B5563F7" w14:textId="77777777" w:rsidR="00764C78" w:rsidRPr="00F86177" w:rsidRDefault="00764C78" w:rsidP="00764C78">
      <w:r>
        <w:t>The Agreement</w:t>
      </w:r>
      <w:r w:rsidRPr="00F86177">
        <w:t xml:space="preserve"> is applicable to all </w:t>
      </w:r>
      <w:r>
        <w:t>the Providers</w:t>
      </w:r>
      <w:r w:rsidRPr="00F86177">
        <w:t xml:space="preserve"> meet</w:t>
      </w:r>
      <w:r>
        <w:t>ing</w:t>
      </w:r>
      <w:r w:rsidRPr="00F86177">
        <w:t xml:space="preserve"> one of the following conditions:</w:t>
      </w:r>
    </w:p>
    <w:p w14:paraId="45E8F311" w14:textId="75E6FF12" w:rsidR="00764C78" w:rsidRPr="00F86177" w:rsidRDefault="00764C78" w:rsidP="00764C78">
      <w:pPr>
        <w:widowControl w:val="0"/>
        <w:numPr>
          <w:ilvl w:val="0"/>
          <w:numId w:val="15"/>
        </w:numPr>
        <w:tabs>
          <w:tab w:val="left" w:pos="720"/>
        </w:tabs>
        <w:spacing w:after="0" w:line="240" w:lineRule="auto"/>
      </w:pPr>
      <w:r w:rsidRPr="00F86177">
        <w:t xml:space="preserve">the </w:t>
      </w:r>
      <w:r>
        <w:t>Provider</w:t>
      </w:r>
      <w:r w:rsidRPr="00F86177">
        <w:t xml:space="preserve"> is a Participant or Associated Participant in </w:t>
      </w:r>
      <w:r w:rsidRPr="00F86177">
        <w:rPr>
          <w:i/>
          <w:iCs/>
        </w:rPr>
        <w:t>The European Grid Initiative Foundation</w:t>
      </w:r>
      <w:r>
        <w:t xml:space="preserve"> </w:t>
      </w:r>
    </w:p>
    <w:p w14:paraId="14C1A214" w14:textId="78DF4975" w:rsidR="00764C78" w:rsidRPr="00F86177" w:rsidRDefault="00764C78" w:rsidP="00764C78">
      <w:pPr>
        <w:widowControl w:val="0"/>
        <w:numPr>
          <w:ilvl w:val="0"/>
          <w:numId w:val="15"/>
        </w:numPr>
        <w:tabs>
          <w:tab w:val="left" w:pos="720"/>
        </w:tabs>
        <w:spacing w:after="0" w:line="240" w:lineRule="auto"/>
      </w:pPr>
      <w:r w:rsidRPr="00F86177">
        <w:t xml:space="preserve">the </w:t>
      </w:r>
      <w:r>
        <w:t>Provider</w:t>
      </w:r>
      <w:r w:rsidRPr="00F86177">
        <w:t xml:space="preserve"> collaborates with EGI.eu in </w:t>
      </w:r>
      <w:r>
        <w:t>the</w:t>
      </w:r>
      <w:r w:rsidRPr="00F86177">
        <w:t xml:space="preserve"> framework defined by a </w:t>
      </w:r>
      <w:r>
        <w:t>Resource infrastructure Provider MoU</w:t>
      </w:r>
      <w:r>
        <w:tab/>
      </w:r>
    </w:p>
    <w:p w14:paraId="19495794" w14:textId="77777777" w:rsidR="00764C78" w:rsidRDefault="00764C78" w:rsidP="00CE1F5A"/>
    <w:p w14:paraId="2242C77F" w14:textId="1DDCF59B" w:rsidR="005349BE" w:rsidRDefault="005349BE" w:rsidP="005349BE">
      <w:r>
        <w:t xml:space="preserve">Once approved, </w:t>
      </w:r>
      <w:r w:rsidRPr="005349BE">
        <w:rPr>
          <w:b/>
        </w:rPr>
        <w:t>this Agreement is valid for as long as the Provider is part of the EGI production infrastructure</w:t>
      </w:r>
      <w:r>
        <w:t>, i.e. as long as the Provider is registered in the</w:t>
      </w:r>
      <w:r w:rsidR="005B58AA">
        <w:t xml:space="preserve"> EGI</w:t>
      </w:r>
      <w:r>
        <w:t xml:space="preserve"> </w:t>
      </w:r>
      <w:r w:rsidR="005B58AA" w:rsidRPr="005B58AA">
        <w:t>Configuration Database</w:t>
      </w:r>
      <w:r w:rsidR="005B58AA">
        <w:t xml:space="preserve"> </w:t>
      </w:r>
      <w:r>
        <w:t>GOCDB</w:t>
      </w:r>
      <w:r>
        <w:rPr>
          <w:rStyle w:val="FootnoteReference"/>
        </w:rPr>
        <w:footnoteReference w:id="1"/>
      </w:r>
      <w:r w:rsidR="00764C78">
        <w:t xml:space="preserve"> as defined in procedure 02</w:t>
      </w:r>
      <w:r w:rsidR="00764C78">
        <w:rPr>
          <w:rStyle w:val="FootnoteReference"/>
        </w:rPr>
        <w:footnoteReference w:id="2"/>
      </w:r>
      <w:r>
        <w:t xml:space="preserve">. </w:t>
      </w:r>
    </w:p>
    <w:p w14:paraId="7DAC5043" w14:textId="5AFB9EDB" w:rsidR="00764C78" w:rsidRDefault="005349BE" w:rsidP="005349BE">
      <w:r>
        <w:t xml:space="preserve">The Provider retains the right to terminate the Agreement at any time. </w:t>
      </w:r>
      <w:r w:rsidR="00764C78" w:rsidRPr="00764C78">
        <w:t>If parties agree to end the Agreement, then the provider is no longer part of EGI Infrastru</w:t>
      </w:r>
      <w:r w:rsidR="00764C78">
        <w:t>cture and it is decommissioned</w:t>
      </w:r>
      <w:r w:rsidR="00764C78">
        <w:rPr>
          <w:rStyle w:val="FootnoteReference"/>
        </w:rPr>
        <w:footnoteReference w:id="3"/>
      </w:r>
      <w:r w:rsidR="00764C78">
        <w:t xml:space="preserve"> </w:t>
      </w:r>
      <w:r w:rsidR="00764C78" w:rsidRPr="00764C78">
        <w:t>or alternatively all its Resource Centres are either closed.</w:t>
      </w:r>
    </w:p>
    <w:p w14:paraId="399CDD3A" w14:textId="569002CA" w:rsidR="005349BE" w:rsidRDefault="005349BE" w:rsidP="005349BE">
      <w:r w:rsidRPr="005349BE">
        <w:t xml:space="preserve">The </w:t>
      </w:r>
      <w:r w:rsidR="00A775CB">
        <w:rPr>
          <w:rFonts w:cs="Open Sans"/>
        </w:rPr>
        <w:t>Agreement</w:t>
      </w:r>
      <w:r w:rsidR="00A775CB" w:rsidRPr="00B8035E">
        <w:rPr>
          <w:rFonts w:cs="Open Sans"/>
        </w:rPr>
        <w:t xml:space="preserve"> </w:t>
      </w:r>
      <w:r w:rsidRPr="005349BE">
        <w:t>is a document discussed and approved by the EGI O</w:t>
      </w:r>
      <w:r>
        <w:t>perations Management Board (OMB)</w:t>
      </w:r>
      <w:r>
        <w:rPr>
          <w:rStyle w:val="FootnoteReference"/>
        </w:rPr>
        <w:footnoteReference w:id="4"/>
      </w:r>
      <w:r w:rsidRPr="005349BE">
        <w:t xml:space="preserve">. </w:t>
      </w:r>
    </w:p>
    <w:p w14:paraId="0D7BC5C6" w14:textId="510EE57E" w:rsidR="005349BE" w:rsidRDefault="005349BE" w:rsidP="005349BE">
      <w:r w:rsidRPr="005349BE">
        <w:t>Amendments, comments and suggestions must be addressed by the Custome</w:t>
      </w:r>
      <w:r>
        <w:t>r to the OMB by opening a GGUS</w:t>
      </w:r>
      <w:r>
        <w:rPr>
          <w:rStyle w:val="FootnoteReference"/>
        </w:rPr>
        <w:footnoteReference w:id="5"/>
      </w:r>
      <w:r>
        <w:t xml:space="preserve"> </w:t>
      </w:r>
      <w:r w:rsidRPr="005349BE">
        <w:t xml:space="preserve">ticket to the </w:t>
      </w:r>
      <w:r>
        <w:t>Operations</w:t>
      </w:r>
      <w:r w:rsidRPr="005349BE">
        <w:t xml:space="preserve"> support unit.</w:t>
      </w:r>
    </w:p>
    <w:p w14:paraId="76D40785" w14:textId="3CCA4533" w:rsidR="006E7D9B" w:rsidRDefault="0059011D" w:rsidP="006E7D9B">
      <w:pPr>
        <w:pStyle w:val="Heading1"/>
      </w:pPr>
      <w:bookmarkStart w:id="0" w:name="_Toc448325309"/>
      <w:r>
        <w:t>The Service</w:t>
      </w:r>
      <w:r w:rsidR="0053196A">
        <w:t>s</w:t>
      </w:r>
      <w:bookmarkEnd w:id="0"/>
    </w:p>
    <w:p w14:paraId="46997F36" w14:textId="2098195E" w:rsidR="002C551F" w:rsidRDefault="002C551F" w:rsidP="00045560">
      <w:r>
        <w:t>The Services are defined by the following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16"/>
      </w:tblGrid>
      <w:tr w:rsidR="00D83740" w:rsidRPr="00D33E18" w14:paraId="3F7CB147" w14:textId="77777777" w:rsidTr="00D7091D">
        <w:tc>
          <w:tcPr>
            <w:tcW w:w="1526" w:type="dxa"/>
            <w:shd w:val="clear" w:color="auto" w:fill="auto"/>
          </w:tcPr>
          <w:p w14:paraId="5BA83A84" w14:textId="77777777" w:rsidR="00D83740" w:rsidRPr="00D83740" w:rsidRDefault="00D83740" w:rsidP="00D7091D">
            <w:pPr>
              <w:pStyle w:val="NormalWeb"/>
              <w:rPr>
                <w:rFonts w:asciiTheme="minorHAnsi" w:hAnsiTheme="minorHAnsi" w:cs="Open Sans"/>
                <w:b/>
                <w:sz w:val="22"/>
                <w:szCs w:val="22"/>
              </w:rPr>
            </w:pPr>
            <w:r w:rsidRPr="00D83740">
              <w:rPr>
                <w:rStyle w:val="mw-headline"/>
                <w:rFonts w:asciiTheme="minorHAnsi" w:hAnsiTheme="minorHAnsi" w:cs="Open Sans"/>
                <w:b/>
                <w:sz w:val="22"/>
                <w:szCs w:val="22"/>
              </w:rPr>
              <w:t>Coordination</w:t>
            </w:r>
          </w:p>
        </w:tc>
        <w:tc>
          <w:tcPr>
            <w:tcW w:w="7716" w:type="dxa"/>
            <w:shd w:val="clear" w:color="auto" w:fill="auto"/>
          </w:tcPr>
          <w:p w14:paraId="5FD9BEE1" w14:textId="77777777" w:rsidR="00D83740" w:rsidRPr="00D83740" w:rsidRDefault="00D83740" w:rsidP="00D7091D">
            <w:pPr>
              <w:spacing w:after="0"/>
              <w:rPr>
                <w:rFonts w:asciiTheme="minorHAnsi" w:hAnsiTheme="minorHAnsi"/>
                <w:highlight w:val="yellow"/>
              </w:rPr>
            </w:pPr>
            <w:r w:rsidRPr="00D83740">
              <w:rPr>
                <w:rFonts w:asciiTheme="minorHAnsi" w:hAnsiTheme="minorHAnsi" w:cs="Open Sans"/>
              </w:rPr>
              <w:t xml:space="preserve">This activity is responsible for the coordination of the Operation Centre. </w:t>
            </w:r>
            <w:r w:rsidRPr="00D83740">
              <w:rPr>
                <w:rFonts w:asciiTheme="minorHAnsi" w:hAnsiTheme="minorHAnsi"/>
              </w:rPr>
              <w:t>The Provider supports the Resource Centre during its lifecycle, i.e. for registration and certification, de-registration, and in case of suspension.</w:t>
            </w:r>
          </w:p>
        </w:tc>
      </w:tr>
      <w:tr w:rsidR="00D83740" w:rsidRPr="00F16D09" w14:paraId="3EA09DEE" w14:textId="77777777" w:rsidTr="00D7091D">
        <w:tc>
          <w:tcPr>
            <w:tcW w:w="1526" w:type="dxa"/>
            <w:shd w:val="clear" w:color="auto" w:fill="auto"/>
          </w:tcPr>
          <w:p w14:paraId="2DA9CE15" w14:textId="77777777" w:rsidR="00D83740" w:rsidRPr="00D83740" w:rsidRDefault="00D83740" w:rsidP="00D7091D">
            <w:pPr>
              <w:pStyle w:val="NormalWeb"/>
              <w:rPr>
                <w:rFonts w:asciiTheme="minorHAnsi" w:hAnsiTheme="minorHAnsi" w:cs="Open Sans"/>
                <w:b/>
                <w:sz w:val="22"/>
                <w:szCs w:val="22"/>
              </w:rPr>
            </w:pPr>
            <w:r w:rsidRPr="00D83740">
              <w:rPr>
                <w:rStyle w:val="mw-headline"/>
                <w:rFonts w:asciiTheme="minorHAnsi" w:hAnsiTheme="minorHAnsi" w:cs="Open Sans"/>
                <w:b/>
                <w:sz w:val="22"/>
                <w:szCs w:val="22"/>
              </w:rPr>
              <w:t>Support</w:t>
            </w:r>
          </w:p>
        </w:tc>
        <w:tc>
          <w:tcPr>
            <w:tcW w:w="7716" w:type="dxa"/>
            <w:shd w:val="clear" w:color="auto" w:fill="auto"/>
          </w:tcPr>
          <w:p w14:paraId="6653B493" w14:textId="77777777" w:rsidR="00D83740" w:rsidRPr="00D83740" w:rsidRDefault="00D83740" w:rsidP="00D7091D">
            <w:pPr>
              <w:rPr>
                <w:rFonts w:asciiTheme="minorHAnsi" w:hAnsiTheme="minorHAnsi"/>
              </w:rPr>
            </w:pPr>
            <w:r w:rsidRPr="00D83740">
              <w:rPr>
                <w:rFonts w:asciiTheme="minorHAnsi" w:hAnsiTheme="minorHAnsi"/>
              </w:rPr>
              <w:t xml:space="preserve">Operational incidents and problems are reported by end-users and the Resource Centre administrators to the Operations Centre of the Provider. The Provider offers support by helping in the resolution of such incidents and problems, also escalating these to higher-level teams in case of need for specialized support. </w:t>
            </w:r>
          </w:p>
          <w:p w14:paraId="3443470A" w14:textId="3BFE02B8" w:rsidR="00D83740" w:rsidRPr="00D83740" w:rsidRDefault="00D83740" w:rsidP="00D7091D">
            <w:pPr>
              <w:rPr>
                <w:rFonts w:asciiTheme="minorHAnsi" w:hAnsiTheme="minorHAnsi"/>
              </w:rPr>
            </w:pPr>
            <w:r w:rsidRPr="00D83740">
              <w:rPr>
                <w:rFonts w:asciiTheme="minorHAnsi" w:hAnsiTheme="minorHAnsi"/>
              </w:rPr>
              <w:t xml:space="preserve">Support is provided either centrally by the Operations Centre Support Unit in the </w:t>
            </w:r>
            <w:r>
              <w:rPr>
                <w:rFonts w:asciiTheme="minorHAnsi" w:hAnsiTheme="minorHAnsi"/>
              </w:rPr>
              <w:lastRenderedPageBreak/>
              <w:t>EGI Helpdesk</w:t>
            </w:r>
            <w:r w:rsidRPr="00D83740">
              <w:rPr>
                <w:rFonts w:asciiTheme="minorHAnsi" w:hAnsiTheme="minorHAnsi"/>
              </w:rPr>
              <w:t>, or locally through the local helpdesk system when available.</w:t>
            </w:r>
          </w:p>
          <w:p w14:paraId="14092A18" w14:textId="77777777" w:rsidR="00D83740" w:rsidRPr="00D83740" w:rsidRDefault="00D83740" w:rsidP="00D7091D">
            <w:pPr>
              <w:spacing w:after="0"/>
              <w:rPr>
                <w:rFonts w:asciiTheme="minorHAnsi" w:hAnsiTheme="minorHAnsi"/>
                <w:b/>
                <w:bCs/>
              </w:rPr>
            </w:pPr>
            <w:r w:rsidRPr="00D83740">
              <w:rPr>
                <w:rFonts w:asciiTheme="minorHAnsi" w:hAnsiTheme="minorHAnsi"/>
              </w:rPr>
              <w:t>Support activities include support to network performance and connectivity issues as well as security.</w:t>
            </w:r>
          </w:p>
        </w:tc>
      </w:tr>
      <w:tr w:rsidR="00D83740" w:rsidRPr="006F370C" w14:paraId="3E36DD28" w14:textId="77777777" w:rsidTr="00D7091D">
        <w:tc>
          <w:tcPr>
            <w:tcW w:w="1526" w:type="dxa"/>
            <w:shd w:val="clear" w:color="auto" w:fill="auto"/>
          </w:tcPr>
          <w:p w14:paraId="32D78AAE" w14:textId="77777777" w:rsidR="00D83740" w:rsidRPr="00D83740" w:rsidRDefault="00D83740" w:rsidP="00D7091D">
            <w:pPr>
              <w:pStyle w:val="NormalWeb"/>
              <w:rPr>
                <w:rFonts w:asciiTheme="minorHAnsi" w:hAnsiTheme="minorHAnsi" w:cs="Open Sans"/>
                <w:b/>
                <w:sz w:val="22"/>
                <w:szCs w:val="22"/>
              </w:rPr>
            </w:pPr>
            <w:r w:rsidRPr="00D83740">
              <w:rPr>
                <w:rStyle w:val="mw-headline"/>
                <w:rFonts w:asciiTheme="minorHAnsi" w:hAnsiTheme="minorHAnsi" w:cs="Open Sans"/>
                <w:b/>
                <w:sz w:val="22"/>
                <w:szCs w:val="22"/>
              </w:rPr>
              <w:lastRenderedPageBreak/>
              <w:t>Resource Infrastructure</w:t>
            </w:r>
          </w:p>
        </w:tc>
        <w:tc>
          <w:tcPr>
            <w:tcW w:w="7716" w:type="dxa"/>
            <w:shd w:val="clear" w:color="auto" w:fill="auto"/>
          </w:tcPr>
          <w:p w14:paraId="11EFF92D" w14:textId="77777777" w:rsidR="00D83740" w:rsidRPr="00D83740" w:rsidRDefault="00D83740" w:rsidP="00D7091D">
            <w:pPr>
              <w:rPr>
                <w:rFonts w:asciiTheme="minorHAnsi" w:hAnsiTheme="minorHAnsi"/>
                <w:highlight w:val="yellow"/>
              </w:rPr>
            </w:pPr>
            <w:r w:rsidRPr="00D83740">
              <w:rPr>
                <w:rFonts w:asciiTheme="minorHAnsi" w:hAnsiTheme="minorHAnsi"/>
              </w:rPr>
              <w:t xml:space="preserve">Resources contributed by the Resource Centres to the Resource Infrastructure are made accessible through </w:t>
            </w:r>
            <w:r w:rsidRPr="00D83740">
              <w:rPr>
                <w:rFonts w:asciiTheme="minorHAnsi" w:hAnsiTheme="minorHAnsi" w:cs="Open Sans"/>
              </w:rPr>
              <w:t xml:space="preserve">High-Throughput Computing Platform and/or Cloud Computing Platform services. </w:t>
            </w:r>
            <w:r w:rsidRPr="00D83740">
              <w:rPr>
                <w:rFonts w:asciiTheme="minorHAnsi" w:hAnsiTheme="minorHAnsi"/>
              </w:rPr>
              <w:t xml:space="preserve">These have to be available and to be reliably accessible. </w:t>
            </w:r>
          </w:p>
        </w:tc>
      </w:tr>
      <w:tr w:rsidR="00D83740" w:rsidRPr="00D33E18" w14:paraId="6C092B90" w14:textId="77777777" w:rsidTr="00D7091D">
        <w:tc>
          <w:tcPr>
            <w:tcW w:w="1526" w:type="dxa"/>
            <w:shd w:val="clear" w:color="auto" w:fill="auto"/>
          </w:tcPr>
          <w:p w14:paraId="59CF2F02" w14:textId="77777777" w:rsidR="00D83740" w:rsidRPr="00D83740" w:rsidRDefault="00D83740" w:rsidP="00D7091D">
            <w:pPr>
              <w:pStyle w:val="NormalWeb"/>
              <w:rPr>
                <w:rStyle w:val="mw-headline"/>
                <w:rFonts w:asciiTheme="minorHAnsi" w:hAnsiTheme="minorHAnsi" w:cs="Open Sans"/>
                <w:b/>
                <w:sz w:val="22"/>
                <w:szCs w:val="22"/>
              </w:rPr>
            </w:pPr>
            <w:r w:rsidRPr="00D83740">
              <w:rPr>
                <w:rStyle w:val="mw-headline"/>
                <w:rFonts w:asciiTheme="minorHAnsi" w:hAnsiTheme="minorHAnsi" w:cs="Open Sans"/>
                <w:b/>
                <w:sz w:val="22"/>
                <w:szCs w:val="22"/>
              </w:rPr>
              <w:t>Oversight</w:t>
            </w:r>
          </w:p>
        </w:tc>
        <w:tc>
          <w:tcPr>
            <w:tcW w:w="7716" w:type="dxa"/>
            <w:shd w:val="clear" w:color="auto" w:fill="auto"/>
          </w:tcPr>
          <w:p w14:paraId="7C4B33A5" w14:textId="1ABB2E2E" w:rsidR="00D83740" w:rsidRPr="00D83740" w:rsidRDefault="00D83740" w:rsidP="00D83740">
            <w:pPr>
              <w:spacing w:after="0"/>
              <w:rPr>
                <w:rFonts w:asciiTheme="minorHAnsi" w:hAnsiTheme="minorHAnsi"/>
              </w:rPr>
            </w:pPr>
            <w:r w:rsidRPr="00D83740">
              <w:rPr>
                <w:rFonts w:asciiTheme="minorHAnsi" w:hAnsiTheme="minorHAnsi"/>
              </w:rPr>
              <w:t xml:space="preserve">The Provider oversees the smooth operation of the infrastructure, proactively checks the status of the Resource Centres, and monitors the progress of open tickets. </w:t>
            </w:r>
          </w:p>
        </w:tc>
      </w:tr>
      <w:tr w:rsidR="00D83740" w:rsidRPr="00E55B68" w14:paraId="38D8D0BA" w14:textId="77777777" w:rsidTr="00D7091D">
        <w:tc>
          <w:tcPr>
            <w:tcW w:w="1526" w:type="dxa"/>
            <w:shd w:val="clear" w:color="auto" w:fill="auto"/>
          </w:tcPr>
          <w:p w14:paraId="36D91F6F" w14:textId="77777777" w:rsidR="00D83740" w:rsidRPr="00D83740" w:rsidRDefault="00D83740" w:rsidP="00D7091D">
            <w:pPr>
              <w:pStyle w:val="NormalWeb"/>
              <w:rPr>
                <w:rFonts w:asciiTheme="minorHAnsi" w:hAnsiTheme="minorHAnsi" w:cs="Open Sans"/>
                <w:b/>
                <w:sz w:val="22"/>
                <w:szCs w:val="22"/>
              </w:rPr>
            </w:pPr>
            <w:r w:rsidRPr="00D83740">
              <w:rPr>
                <w:rStyle w:val="mw-headline"/>
                <w:rFonts w:asciiTheme="minorHAnsi" w:hAnsiTheme="minorHAnsi" w:cs="Open Sans"/>
                <w:b/>
                <w:sz w:val="22"/>
                <w:szCs w:val="22"/>
              </w:rPr>
              <w:t>Core services</w:t>
            </w:r>
          </w:p>
        </w:tc>
        <w:tc>
          <w:tcPr>
            <w:tcW w:w="7716" w:type="dxa"/>
            <w:shd w:val="clear" w:color="auto" w:fill="auto"/>
          </w:tcPr>
          <w:p w14:paraId="4297C35C" w14:textId="4365617D" w:rsidR="00D83740" w:rsidRPr="00D83740" w:rsidRDefault="00D83740" w:rsidP="00D7091D">
            <w:pPr>
              <w:rPr>
                <w:rFonts w:asciiTheme="minorHAnsi" w:hAnsiTheme="minorHAnsi"/>
              </w:rPr>
            </w:pPr>
            <w:r w:rsidRPr="00D83740">
              <w:rPr>
                <w:rFonts w:asciiTheme="minorHAnsi" w:hAnsiTheme="minorHAnsi"/>
              </w:rPr>
              <w:t>Core services are defined to be a middleware services that are used to access Resource Centre services. Core services can be operated directly by the Operations Centre, and hosted by its Resource Centres, or by other Operations Centre based on an agreement.</w:t>
            </w:r>
            <w:r w:rsidR="00B91B16">
              <w:rPr>
                <w:rFonts w:asciiTheme="minorHAnsi" w:hAnsiTheme="minorHAnsi"/>
              </w:rPr>
              <w:t xml:space="preserve"> Required minimum n</w:t>
            </w:r>
            <w:r w:rsidR="00B91B16" w:rsidRPr="00B91B16">
              <w:rPr>
                <w:rFonts w:asciiTheme="minorHAnsi" w:hAnsiTheme="minorHAnsi"/>
              </w:rPr>
              <w:t>umber of instances per service</w:t>
            </w:r>
            <w:r w:rsidR="00B91B16">
              <w:rPr>
                <w:rFonts w:asciiTheme="minorHAnsi" w:hAnsiTheme="minorHAnsi"/>
              </w:rPr>
              <w:t xml:space="preserve"> is 1. </w:t>
            </w:r>
          </w:p>
          <w:p w14:paraId="532E78B0" w14:textId="732E6756" w:rsidR="00D83740" w:rsidRPr="00D83740" w:rsidRDefault="00D83740" w:rsidP="00D83740">
            <w:pPr>
              <w:rPr>
                <w:rFonts w:asciiTheme="minorHAnsi" w:hAnsiTheme="minorHAnsi" w:cs="Open Sans"/>
              </w:rPr>
            </w:pPr>
            <w:r w:rsidRPr="00D83740">
              <w:rPr>
                <w:rFonts w:asciiTheme="minorHAnsi" w:hAnsiTheme="minorHAnsi" w:cs="Open Sans"/>
              </w:rPr>
              <w:t>List</w:t>
            </w:r>
            <w:r>
              <w:rPr>
                <w:rFonts w:asciiTheme="minorHAnsi" w:hAnsiTheme="minorHAnsi" w:cs="Open Sans"/>
              </w:rPr>
              <w:t xml:space="preserve"> of mandatory NGI core services</w:t>
            </w:r>
            <w:r>
              <w:rPr>
                <w:rStyle w:val="FootnoteReference"/>
                <w:rFonts w:asciiTheme="minorHAnsi" w:hAnsiTheme="minorHAnsi" w:cs="Open Sans"/>
              </w:rPr>
              <w:footnoteReference w:id="6"/>
            </w:r>
          </w:p>
        </w:tc>
      </w:tr>
    </w:tbl>
    <w:p w14:paraId="27BD4E1E" w14:textId="77777777" w:rsidR="003E5A99" w:rsidRPr="00045560" w:rsidRDefault="003E5A99" w:rsidP="00045560"/>
    <w:p w14:paraId="6F9A42AE" w14:textId="6EE21A7C" w:rsidR="00227F47" w:rsidRDefault="00176CC7" w:rsidP="00CE1F5A">
      <w:pPr>
        <w:pStyle w:val="Heading1"/>
      </w:pPr>
      <w:bookmarkStart w:id="2" w:name="_Toc448325310"/>
      <w:r>
        <w:t>Service hours and exceptions</w:t>
      </w:r>
      <w:bookmarkEnd w:id="2"/>
    </w:p>
    <w:p w14:paraId="221C195A" w14:textId="77777777" w:rsidR="00045560" w:rsidRDefault="00045560" w:rsidP="00D63871"/>
    <w:p w14:paraId="14D66DBB" w14:textId="77777777" w:rsidR="00045560" w:rsidRPr="003E5A99" w:rsidRDefault="00045560" w:rsidP="00045560">
      <w:r w:rsidRPr="003E5A99">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3E5A99" w:rsidRDefault="00045560" w:rsidP="00045560">
      <w:pPr>
        <w:rPr>
          <w:rFonts w:cs="Open Sans"/>
        </w:rPr>
      </w:pPr>
      <w:r w:rsidRPr="003E5A99">
        <w:rPr>
          <w:rFonts w:cs="Open Sans"/>
        </w:rPr>
        <w:t>The following exceptions apply:</w:t>
      </w:r>
    </w:p>
    <w:p w14:paraId="027474D9" w14:textId="77777777" w:rsidR="00045560" w:rsidRPr="003E5A99" w:rsidRDefault="00045560" w:rsidP="00D97F43">
      <w:pPr>
        <w:pStyle w:val="ListParagraph"/>
        <w:numPr>
          <w:ilvl w:val="0"/>
          <w:numId w:val="9"/>
        </w:numPr>
        <w:rPr>
          <w:rFonts w:cs="Open Sans"/>
        </w:rPr>
      </w:pPr>
      <w:r w:rsidRPr="003E5A99">
        <w:rPr>
          <w:rFonts w:cs="Open Sans"/>
        </w:rPr>
        <w:t>Planned maintenance windows or service interruptions (“scheduled downtimes”</w:t>
      </w:r>
      <w:r w:rsidRPr="003E5A99">
        <w:rPr>
          <w:rStyle w:val="FootnoteReference"/>
          <w:rFonts w:cs="Open Sans"/>
        </w:rPr>
        <w:footnoteReference w:id="7"/>
      </w:r>
      <w:r w:rsidRPr="003E5A99">
        <w:rPr>
          <w:rFonts w:cs="Open Sans"/>
        </w:rPr>
        <w:t>) will be notified via e-mail in a timely manner i.e. 24 hours before the start of the outage</w:t>
      </w:r>
      <w:r w:rsidRPr="003E5A99">
        <w:rPr>
          <w:rStyle w:val="FootnoteReference"/>
          <w:rFonts w:cs="Open Sans"/>
        </w:rPr>
        <w:footnoteReference w:id="8"/>
      </w:r>
      <w:r w:rsidRPr="003E5A99">
        <w:rPr>
          <w:rFonts w:cs="Open Sans"/>
        </w:rPr>
        <w:t>, to the Customer through the Broadcast Tool</w:t>
      </w:r>
      <w:r w:rsidRPr="003E5A99">
        <w:rPr>
          <w:rStyle w:val="FootnoteReference"/>
          <w:rFonts w:cs="Open Sans"/>
        </w:rPr>
        <w:footnoteReference w:id="9"/>
      </w:r>
      <w:r w:rsidRPr="003E5A99">
        <w:rPr>
          <w:rFonts w:cs="Open Sans"/>
        </w:rPr>
        <w:t>.</w:t>
      </w:r>
    </w:p>
    <w:p w14:paraId="48B349CD" w14:textId="77777777" w:rsidR="00045560" w:rsidRPr="003E5A99" w:rsidRDefault="00045560" w:rsidP="00D97F43">
      <w:pPr>
        <w:pStyle w:val="ListParagraph"/>
        <w:keepLines/>
        <w:widowControl w:val="0"/>
        <w:numPr>
          <w:ilvl w:val="0"/>
          <w:numId w:val="9"/>
        </w:numPr>
        <w:suppressAutoHyphens/>
        <w:spacing w:before="40" w:after="40" w:line="240" w:lineRule="auto"/>
        <w:rPr>
          <w:rFonts w:cs="Open Sans"/>
        </w:rPr>
      </w:pPr>
      <w:r w:rsidRPr="003E5A99">
        <w:rPr>
          <w:rFonts w:cs="Open Sans"/>
        </w:rPr>
        <w:t>Downtime periods exceeding 24 hours need justification.</w:t>
      </w:r>
    </w:p>
    <w:p w14:paraId="47B8BA78" w14:textId="4483518C" w:rsidR="00045560" w:rsidRPr="003E5A99" w:rsidRDefault="00045560" w:rsidP="00D97F43">
      <w:pPr>
        <w:pStyle w:val="ListParagraph"/>
        <w:keepLines/>
        <w:widowControl w:val="0"/>
        <w:numPr>
          <w:ilvl w:val="0"/>
          <w:numId w:val="9"/>
        </w:numPr>
        <w:suppressAutoHyphens/>
        <w:spacing w:before="40" w:after="40" w:line="240" w:lineRule="auto"/>
        <w:rPr>
          <w:rFonts w:cs="Open Sans"/>
        </w:rPr>
      </w:pPr>
      <w:r w:rsidRPr="003E5A99">
        <w:rPr>
          <w:rFonts w:cs="Open Sans"/>
        </w:rPr>
        <w:t>Human services are provided during support hours.</w:t>
      </w:r>
    </w:p>
    <w:p w14:paraId="018340AD" w14:textId="15E92A57" w:rsidR="00227F47" w:rsidRDefault="00176CC7" w:rsidP="00CE1F5A">
      <w:pPr>
        <w:pStyle w:val="Heading1"/>
      </w:pPr>
      <w:bookmarkStart w:id="3" w:name="_Toc448325311"/>
      <w:r>
        <w:lastRenderedPageBreak/>
        <w:t>Support</w:t>
      </w:r>
      <w:bookmarkEnd w:id="3"/>
    </w:p>
    <w:p w14:paraId="3576E7A2" w14:textId="2B3ABFA3" w:rsidR="00045560" w:rsidRPr="003E5A99" w:rsidRDefault="00045560" w:rsidP="00045560">
      <w:bookmarkStart w:id="4" w:name="_Toc403992926"/>
      <w:r w:rsidRPr="003E5A99">
        <w:t xml:space="preserve">Support is provided via EGI Service Desk. Access requires a valid X.509 or the login via </w:t>
      </w:r>
      <w:proofErr w:type="gramStart"/>
      <w:r w:rsidRPr="003E5A99">
        <w:t>a</w:t>
      </w:r>
      <w:proofErr w:type="gramEnd"/>
      <w:r w:rsidRPr="003E5A99">
        <w:t xml:space="preserve"> EGI SSO account</w:t>
      </w:r>
      <w:r w:rsidRPr="003E5A99">
        <w:rPr>
          <w:rStyle w:val="FootnoteReference"/>
        </w:rPr>
        <w:footnoteReference w:id="10"/>
      </w:r>
      <w:r w:rsidRPr="003E5A99">
        <w:t xml:space="preserve">. </w:t>
      </w:r>
    </w:p>
    <w:p w14:paraId="2DA0FD28" w14:textId="77777777" w:rsidR="00045560" w:rsidRPr="003E5A99" w:rsidRDefault="00045560" w:rsidP="00045560">
      <w:pPr>
        <w:rPr>
          <w:rFonts w:cs="Open Sans"/>
        </w:rPr>
      </w:pPr>
      <w:r w:rsidRPr="003E5A99">
        <w:rPr>
          <w:rFonts w:cs="Open Sans"/>
        </w:rPr>
        <w:t>Support is available between:</w:t>
      </w:r>
    </w:p>
    <w:p w14:paraId="141CB011" w14:textId="77777777" w:rsidR="00045560" w:rsidRDefault="00045560" w:rsidP="00D97F43">
      <w:pPr>
        <w:keepLines/>
        <w:widowControl w:val="0"/>
        <w:numPr>
          <w:ilvl w:val="0"/>
          <w:numId w:val="8"/>
        </w:numPr>
        <w:suppressAutoHyphens/>
        <w:spacing w:before="40" w:after="40" w:line="240" w:lineRule="auto"/>
        <w:rPr>
          <w:rFonts w:cs="Open Sans"/>
        </w:rPr>
      </w:pPr>
      <w:r w:rsidRPr="003E5A99">
        <w:rPr>
          <w:rFonts w:cs="Open Sans"/>
        </w:rPr>
        <w:t>Monday and Friday</w:t>
      </w:r>
    </w:p>
    <w:p w14:paraId="4AAB5E8E" w14:textId="03A438E7" w:rsidR="003E5A99" w:rsidRPr="003E5A99" w:rsidRDefault="003E5A99" w:rsidP="00D97F43">
      <w:pPr>
        <w:pStyle w:val="ListParagraph"/>
        <w:numPr>
          <w:ilvl w:val="0"/>
          <w:numId w:val="8"/>
        </w:numPr>
        <w:rPr>
          <w:rFonts w:cs="Open Sans"/>
          <w:spacing w:val="2"/>
        </w:rPr>
      </w:pPr>
      <w:r w:rsidRPr="003E5A99">
        <w:rPr>
          <w:rFonts w:cs="Open Sans"/>
          <w:spacing w:val="2"/>
        </w:rPr>
        <w:t>8h a day during the regular working hours of supporting organization</w:t>
      </w:r>
    </w:p>
    <w:p w14:paraId="7A82F6B8" w14:textId="77777777" w:rsidR="00045560" w:rsidRPr="003E5A99" w:rsidRDefault="00045560" w:rsidP="00045560">
      <w:pPr>
        <w:rPr>
          <w:rFonts w:cs="Open Sans"/>
        </w:rPr>
      </w:pPr>
    </w:p>
    <w:p w14:paraId="78FA90E8" w14:textId="5FA294FC" w:rsidR="00045560" w:rsidRPr="00045560" w:rsidRDefault="00045560" w:rsidP="00D63871">
      <w:pPr>
        <w:rPr>
          <w:rFonts w:cs="Open Sans"/>
        </w:rPr>
      </w:pPr>
      <w:r w:rsidRPr="003E5A99">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8325312"/>
      <w:r w:rsidRPr="00B97954">
        <w:t>Incident handling</w:t>
      </w:r>
      <w:bookmarkEnd w:id="4"/>
      <w:bookmarkEnd w:id="5"/>
    </w:p>
    <w:p w14:paraId="11712FB2" w14:textId="77777777" w:rsidR="00045560" w:rsidRPr="003E5A99" w:rsidRDefault="00045560" w:rsidP="00045560">
      <w:pPr>
        <w:rPr>
          <w:rFonts w:cs="Open Sans"/>
        </w:rPr>
      </w:pPr>
      <w:r w:rsidRPr="003E5A99">
        <w:rPr>
          <w:rFonts w:cs="Open Sans"/>
        </w:rPr>
        <w:t xml:space="preserve">Incidents will be handled according to the Quality of Support level that is estimated according to the impact of the outage or service quality degradation. </w:t>
      </w:r>
    </w:p>
    <w:p w14:paraId="3E3F7DEE" w14:textId="77777777" w:rsidR="00045560" w:rsidRPr="003E5A99" w:rsidRDefault="00045560" w:rsidP="00045560">
      <w:pPr>
        <w:rPr>
          <w:rFonts w:cs="Open Sans"/>
        </w:rPr>
      </w:pPr>
      <w:r w:rsidRPr="003E5A99">
        <w:rPr>
          <w:rFonts w:cs="Open Sans"/>
        </w:rPr>
        <w:t>The Quality of Support levels are defined as follow:</w:t>
      </w:r>
    </w:p>
    <w:p w14:paraId="311F1865" w14:textId="77777777" w:rsidR="00045560" w:rsidRPr="003E5A99" w:rsidRDefault="00045560" w:rsidP="00045560">
      <w:pPr>
        <w:rPr>
          <w:rFonts w:cs="Open Sans"/>
          <w:b/>
        </w:rPr>
      </w:pPr>
      <w:r w:rsidRPr="003E5A99">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3E5A99" w14:paraId="36A59FDC" w14:textId="77777777" w:rsidTr="00D7091D">
        <w:trPr>
          <w:jc w:val="center"/>
        </w:trPr>
        <w:tc>
          <w:tcPr>
            <w:tcW w:w="2976" w:type="dxa"/>
            <w:shd w:val="clear" w:color="auto" w:fill="95B3D7" w:themeFill="accent1" w:themeFillTint="99"/>
          </w:tcPr>
          <w:p w14:paraId="10F7B881" w14:textId="77777777" w:rsidR="00045560" w:rsidRPr="003E5A99" w:rsidRDefault="00045560" w:rsidP="00D7091D">
            <w:pPr>
              <w:rPr>
                <w:rFonts w:cs="Open Sans"/>
                <w:b/>
              </w:rPr>
            </w:pPr>
            <w:r w:rsidRPr="003E5A99">
              <w:rPr>
                <w:rFonts w:cs="Open Sans"/>
                <w:b/>
              </w:rPr>
              <w:t>Incident priority</w:t>
            </w:r>
            <w:r w:rsidRPr="003E5A99">
              <w:rPr>
                <w:rStyle w:val="FootnoteReference"/>
                <w:rFonts w:cs="Open Sans"/>
                <w:b/>
              </w:rPr>
              <w:footnoteReference w:id="11"/>
            </w:r>
          </w:p>
        </w:tc>
        <w:tc>
          <w:tcPr>
            <w:tcW w:w="2552" w:type="dxa"/>
            <w:shd w:val="clear" w:color="auto" w:fill="95B3D7" w:themeFill="accent1" w:themeFillTint="99"/>
          </w:tcPr>
          <w:p w14:paraId="0A6DF03A" w14:textId="77777777" w:rsidR="00045560" w:rsidRPr="003E5A99" w:rsidRDefault="00045560" w:rsidP="00D7091D">
            <w:pPr>
              <w:rPr>
                <w:rFonts w:cs="Open Sans"/>
                <w:b/>
              </w:rPr>
            </w:pPr>
            <w:r w:rsidRPr="003E5A99">
              <w:rPr>
                <w:rFonts w:cs="Open Sans"/>
                <w:b/>
              </w:rPr>
              <w:t>Response time</w:t>
            </w:r>
          </w:p>
        </w:tc>
      </w:tr>
      <w:tr w:rsidR="00045560" w:rsidRPr="003E5A99" w14:paraId="34DDD0F4" w14:textId="77777777" w:rsidTr="00D7091D">
        <w:trPr>
          <w:jc w:val="center"/>
        </w:trPr>
        <w:tc>
          <w:tcPr>
            <w:tcW w:w="2976" w:type="dxa"/>
            <w:shd w:val="clear" w:color="auto" w:fill="auto"/>
          </w:tcPr>
          <w:p w14:paraId="0AF29D02" w14:textId="77777777" w:rsidR="00045560" w:rsidRPr="003E5A99" w:rsidRDefault="00045560" w:rsidP="00D7091D">
            <w:pPr>
              <w:ind w:left="567" w:hanging="567"/>
              <w:rPr>
                <w:rFonts w:cs="Open Sans"/>
              </w:rPr>
            </w:pPr>
            <w:r w:rsidRPr="003E5A99">
              <w:rPr>
                <w:rFonts w:cs="Open Sans"/>
              </w:rPr>
              <w:t>Less urgent</w:t>
            </w:r>
          </w:p>
        </w:tc>
        <w:tc>
          <w:tcPr>
            <w:tcW w:w="2552" w:type="dxa"/>
            <w:shd w:val="clear" w:color="auto" w:fill="auto"/>
          </w:tcPr>
          <w:p w14:paraId="187E004A" w14:textId="77777777" w:rsidR="00045560" w:rsidRPr="003E5A99" w:rsidRDefault="00045560" w:rsidP="00D7091D">
            <w:pPr>
              <w:rPr>
                <w:rFonts w:cs="Open Sans"/>
              </w:rPr>
            </w:pPr>
            <w:r w:rsidRPr="003E5A99">
              <w:rPr>
                <w:rFonts w:cs="Open Sans"/>
              </w:rPr>
              <w:t>5 working days</w:t>
            </w:r>
          </w:p>
        </w:tc>
      </w:tr>
      <w:tr w:rsidR="00045560" w:rsidRPr="003E5A99" w14:paraId="60A9A13D" w14:textId="77777777" w:rsidTr="00D7091D">
        <w:trPr>
          <w:jc w:val="center"/>
        </w:trPr>
        <w:tc>
          <w:tcPr>
            <w:tcW w:w="2976" w:type="dxa"/>
            <w:shd w:val="clear" w:color="auto" w:fill="auto"/>
          </w:tcPr>
          <w:p w14:paraId="3CA5F1B7" w14:textId="77777777" w:rsidR="00045560" w:rsidRPr="003E5A99" w:rsidRDefault="00045560" w:rsidP="00D7091D">
            <w:pPr>
              <w:ind w:left="567" w:hanging="567"/>
              <w:rPr>
                <w:rFonts w:cs="Open Sans"/>
              </w:rPr>
            </w:pPr>
            <w:r w:rsidRPr="003E5A99">
              <w:rPr>
                <w:rFonts w:cs="Open Sans"/>
              </w:rPr>
              <w:t>Urgent</w:t>
            </w:r>
          </w:p>
        </w:tc>
        <w:tc>
          <w:tcPr>
            <w:tcW w:w="2552" w:type="dxa"/>
            <w:shd w:val="clear" w:color="auto" w:fill="auto"/>
          </w:tcPr>
          <w:p w14:paraId="4536C17D" w14:textId="77777777" w:rsidR="00045560" w:rsidRPr="003E5A99" w:rsidRDefault="00045560" w:rsidP="00D7091D">
            <w:pPr>
              <w:rPr>
                <w:rFonts w:cs="Open Sans"/>
              </w:rPr>
            </w:pPr>
            <w:r w:rsidRPr="003E5A99">
              <w:rPr>
                <w:rFonts w:cs="Open Sans"/>
              </w:rPr>
              <w:t>5 working days</w:t>
            </w:r>
          </w:p>
        </w:tc>
      </w:tr>
      <w:tr w:rsidR="00045560" w:rsidRPr="003E5A99" w14:paraId="4AD498D2" w14:textId="77777777" w:rsidTr="00D7091D">
        <w:trPr>
          <w:jc w:val="center"/>
        </w:trPr>
        <w:tc>
          <w:tcPr>
            <w:tcW w:w="2976" w:type="dxa"/>
            <w:shd w:val="clear" w:color="auto" w:fill="auto"/>
          </w:tcPr>
          <w:p w14:paraId="669B9047" w14:textId="77777777" w:rsidR="00045560" w:rsidRPr="003E5A99" w:rsidRDefault="00045560" w:rsidP="00D7091D">
            <w:pPr>
              <w:ind w:left="567" w:hanging="567"/>
              <w:rPr>
                <w:rFonts w:cs="Open Sans"/>
              </w:rPr>
            </w:pPr>
            <w:r w:rsidRPr="003E5A99">
              <w:rPr>
                <w:rFonts w:cs="Open Sans"/>
              </w:rPr>
              <w:t>Very Urgent,</w:t>
            </w:r>
          </w:p>
        </w:tc>
        <w:tc>
          <w:tcPr>
            <w:tcW w:w="2552" w:type="dxa"/>
            <w:shd w:val="clear" w:color="auto" w:fill="auto"/>
          </w:tcPr>
          <w:p w14:paraId="78FADBF1" w14:textId="77777777" w:rsidR="00045560" w:rsidRPr="003E5A99" w:rsidRDefault="00045560" w:rsidP="00D7091D">
            <w:pPr>
              <w:rPr>
                <w:rFonts w:cs="Open Sans"/>
              </w:rPr>
            </w:pPr>
            <w:r w:rsidRPr="003E5A99">
              <w:rPr>
                <w:rFonts w:cs="Open Sans"/>
              </w:rPr>
              <w:t>1 working day</w:t>
            </w:r>
          </w:p>
        </w:tc>
      </w:tr>
      <w:tr w:rsidR="00045560" w:rsidRPr="00045560" w14:paraId="63597753" w14:textId="77777777" w:rsidTr="00D7091D">
        <w:trPr>
          <w:jc w:val="center"/>
        </w:trPr>
        <w:tc>
          <w:tcPr>
            <w:tcW w:w="2976" w:type="dxa"/>
            <w:shd w:val="clear" w:color="auto" w:fill="auto"/>
          </w:tcPr>
          <w:p w14:paraId="58F79C42" w14:textId="77777777" w:rsidR="00045560" w:rsidRPr="003E5A99" w:rsidRDefault="00045560" w:rsidP="00D7091D">
            <w:pPr>
              <w:rPr>
                <w:rFonts w:cs="Open Sans"/>
              </w:rPr>
            </w:pPr>
            <w:r w:rsidRPr="003E5A99">
              <w:rPr>
                <w:rFonts w:cs="Open Sans"/>
              </w:rPr>
              <w:t>Top Priority</w:t>
            </w:r>
          </w:p>
        </w:tc>
        <w:tc>
          <w:tcPr>
            <w:tcW w:w="2552" w:type="dxa"/>
            <w:shd w:val="clear" w:color="auto" w:fill="auto"/>
          </w:tcPr>
          <w:p w14:paraId="2E32865D" w14:textId="77777777" w:rsidR="00045560" w:rsidRPr="003E5A99" w:rsidRDefault="00045560" w:rsidP="00D7091D">
            <w:pPr>
              <w:rPr>
                <w:rFonts w:cs="Open Sans"/>
              </w:rPr>
            </w:pPr>
            <w:r w:rsidRPr="003E5A99">
              <w:rPr>
                <w:rFonts w:cs="Open Sans"/>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75B4375D" w14:textId="77777777" w:rsidR="00045560" w:rsidRPr="007A2DFE" w:rsidRDefault="00045560" w:rsidP="00045560">
      <w:pPr>
        <w:rPr>
          <w:rFonts w:cs="Open Sans"/>
        </w:rPr>
      </w:pPr>
      <w:r w:rsidRPr="003E5A99">
        <w:rPr>
          <w:rFonts w:cs="Open Sans"/>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8325313"/>
      <w:r w:rsidRPr="00176CC7">
        <w:t>Service requests</w:t>
      </w:r>
      <w:bookmarkEnd w:id="6"/>
    </w:p>
    <w:p w14:paraId="48839E32" w14:textId="77777777" w:rsidR="00045560" w:rsidRDefault="00045560" w:rsidP="00045560">
      <w:bookmarkStart w:id="7" w:name="_Toc403992928"/>
      <w:r w:rsidRPr="003E5A99">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0A2BC1F5" w14:textId="143941C4" w:rsidR="00227F47" w:rsidRPr="00176CC7" w:rsidRDefault="00176CC7" w:rsidP="00CE1F5A">
      <w:pPr>
        <w:pStyle w:val="Heading1"/>
      </w:pPr>
      <w:bookmarkStart w:id="8" w:name="_Toc448325314"/>
      <w:r w:rsidRPr="00B97954">
        <w:lastRenderedPageBreak/>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97F4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AA03445" w:rsidR="00176CC7" w:rsidRDefault="00B91B16" w:rsidP="00B91B16">
      <w:pPr>
        <w:pStyle w:val="ListParagraph"/>
        <w:numPr>
          <w:ilvl w:val="0"/>
          <w:numId w:val="3"/>
        </w:numPr>
      </w:pPr>
      <w:r w:rsidRPr="00B91B16">
        <w:t>Core services</w:t>
      </w:r>
      <w:r>
        <w:t xml:space="preserve">: </w:t>
      </w:r>
      <w:r w:rsidR="00176CC7" w:rsidRPr="00B63C90">
        <w:t>Minimum</w:t>
      </w:r>
      <w:r w:rsidR="00CF2238">
        <w:t xml:space="preserve"> </w:t>
      </w:r>
      <w:r w:rsidR="00CF2238" w:rsidRPr="00D00DDB">
        <w:t>(as a percentage per month)</w:t>
      </w:r>
      <w:r w:rsidR="00176CC7" w:rsidRPr="00B63C90">
        <w:t xml:space="preserve">: </w:t>
      </w:r>
      <w:r>
        <w:t>99</w:t>
      </w:r>
      <w:r w:rsidR="003E5A99">
        <w:t>%</w:t>
      </w:r>
    </w:p>
    <w:p w14:paraId="3FD77188" w14:textId="20C582E8" w:rsidR="00B91B16" w:rsidRPr="00D00DDB" w:rsidRDefault="00B91B16" w:rsidP="00B91B16">
      <w:pPr>
        <w:pStyle w:val="ListParagraph"/>
        <w:numPr>
          <w:ilvl w:val="0"/>
          <w:numId w:val="3"/>
        </w:numPr>
      </w:pPr>
      <w:r w:rsidRPr="00B91B16">
        <w:t>Resource Infrastructure</w:t>
      </w:r>
      <w:r>
        <w:t xml:space="preserve">: </w:t>
      </w:r>
      <w:r w:rsidR="00753446">
        <w:t>Overall m</w:t>
      </w:r>
      <w:r w:rsidRPr="00B63C90">
        <w:t>inimum</w:t>
      </w:r>
      <w:r>
        <w:t xml:space="preserve"> </w:t>
      </w:r>
      <w:r w:rsidRPr="00D00DDB">
        <w:t>(as a percentage per month)</w:t>
      </w:r>
      <w:r w:rsidRPr="00B63C90">
        <w:t>:</w:t>
      </w:r>
      <w:r>
        <w:t xml:space="preserve"> 80%</w:t>
      </w:r>
    </w:p>
    <w:p w14:paraId="3D7018DD" w14:textId="77777777" w:rsidR="00176CC7" w:rsidRPr="003E5A99" w:rsidRDefault="00176CC7" w:rsidP="00176CC7">
      <w:pPr>
        <w:rPr>
          <w:b/>
        </w:rPr>
      </w:pPr>
      <w:r w:rsidRPr="00D00DDB">
        <w:rPr>
          <w:b/>
        </w:rPr>
        <w:t xml:space="preserve">Monthly </w:t>
      </w:r>
      <w:r w:rsidRPr="003E5A99">
        <w:rPr>
          <w:b/>
        </w:rPr>
        <w:t>Reliability</w:t>
      </w:r>
    </w:p>
    <w:p w14:paraId="1076BA2B" w14:textId="77777777" w:rsidR="00176CC7" w:rsidRPr="003E5A99" w:rsidRDefault="00176CC7" w:rsidP="00D97F43">
      <w:pPr>
        <w:pStyle w:val="ListParagraph"/>
        <w:numPr>
          <w:ilvl w:val="0"/>
          <w:numId w:val="4"/>
        </w:numPr>
      </w:pPr>
      <w:r w:rsidRPr="003E5A99">
        <w:t>Defined as the ability of a service or service component to fulfil its intended function at a specific time or over a calendar month, excluding scheduled maintenance periods.</w:t>
      </w:r>
      <w:r w:rsidRPr="003E5A99" w:rsidDel="00480B0E">
        <w:t xml:space="preserve"> </w:t>
      </w:r>
    </w:p>
    <w:p w14:paraId="475AA853" w14:textId="5C77333B" w:rsidR="00B91B16" w:rsidRDefault="00B91B16" w:rsidP="00B91B16">
      <w:pPr>
        <w:pStyle w:val="ListParagraph"/>
        <w:numPr>
          <w:ilvl w:val="0"/>
          <w:numId w:val="4"/>
        </w:numPr>
      </w:pPr>
      <w:r w:rsidRPr="00B91B16">
        <w:t>Core services</w:t>
      </w:r>
      <w:r>
        <w:t xml:space="preserve">: </w:t>
      </w:r>
      <w:r w:rsidRPr="00B63C90">
        <w:t>Minimum</w:t>
      </w:r>
      <w:r>
        <w:t xml:space="preserve"> </w:t>
      </w:r>
      <w:r w:rsidRPr="00D00DDB">
        <w:t>(as a percentage per month)</w:t>
      </w:r>
      <w:r w:rsidRPr="00B63C90">
        <w:t xml:space="preserve">: </w:t>
      </w:r>
      <w:r>
        <w:t>99%</w:t>
      </w:r>
    </w:p>
    <w:p w14:paraId="7BF84DCB" w14:textId="70C072F5" w:rsidR="00B91B16" w:rsidRPr="00D00DDB" w:rsidRDefault="00B91B16" w:rsidP="00B91B16">
      <w:pPr>
        <w:pStyle w:val="ListParagraph"/>
        <w:numPr>
          <w:ilvl w:val="0"/>
          <w:numId w:val="4"/>
        </w:numPr>
      </w:pPr>
      <w:r w:rsidRPr="00B91B16">
        <w:t>Resource Infrastructure</w:t>
      </w:r>
      <w:r>
        <w:t xml:space="preserve">: </w:t>
      </w:r>
      <w:r w:rsidR="00753446">
        <w:t>Overall m</w:t>
      </w:r>
      <w:r w:rsidRPr="00B63C90">
        <w:t>inimum</w:t>
      </w:r>
      <w:r>
        <w:t xml:space="preserve"> </w:t>
      </w:r>
      <w:r w:rsidRPr="00D00DDB">
        <w:t>(as a percentage per month)</w:t>
      </w:r>
      <w:r w:rsidRPr="00B63C90">
        <w:t>:</w:t>
      </w:r>
      <w:r>
        <w:t xml:space="preserve"> 85%</w:t>
      </w:r>
    </w:p>
    <w:p w14:paraId="23C7E35A" w14:textId="113257C7" w:rsidR="00176CC7" w:rsidRPr="003E5A99" w:rsidRDefault="0053196A" w:rsidP="00176CC7">
      <w:pPr>
        <w:rPr>
          <w:b/>
        </w:rPr>
      </w:pPr>
      <w:r w:rsidRPr="003E5A99">
        <w:rPr>
          <w:rFonts w:cs="Open Sans"/>
          <w:b/>
        </w:rPr>
        <w:t>Quality of Support level</w:t>
      </w:r>
    </w:p>
    <w:p w14:paraId="535EDFCA" w14:textId="126CA34D" w:rsidR="00542830" w:rsidRPr="003E5A99" w:rsidRDefault="00176CC7" w:rsidP="00D97F43">
      <w:pPr>
        <w:pStyle w:val="ListParagraph"/>
        <w:numPr>
          <w:ilvl w:val="0"/>
          <w:numId w:val="7"/>
        </w:numPr>
      </w:pPr>
      <w:r w:rsidRPr="003E5A99">
        <w:t>Medium (Section 3)</w:t>
      </w:r>
    </w:p>
    <w:p w14:paraId="777AB914" w14:textId="7D4D18CA" w:rsidR="00542830" w:rsidRPr="00B97954" w:rsidRDefault="00542830" w:rsidP="00CE1F5A">
      <w:pPr>
        <w:pStyle w:val="Heading1"/>
      </w:pPr>
      <w:bookmarkStart w:id="9" w:name="_Toc403992929"/>
      <w:bookmarkStart w:id="10" w:name="_Toc448325315"/>
      <w:r>
        <w:t>Limitations and</w:t>
      </w:r>
      <w:r w:rsidRPr="00B97954">
        <w:t xml:space="preserve"> constraints</w:t>
      </w:r>
      <w:bookmarkEnd w:id="9"/>
      <w:bookmarkEnd w:id="10"/>
    </w:p>
    <w:p w14:paraId="50C05761" w14:textId="77777777" w:rsidR="00045560" w:rsidRPr="003E5A99" w:rsidRDefault="00045560" w:rsidP="00045560">
      <w:pPr>
        <w:rPr>
          <w:rFonts w:cs="Open Sans"/>
        </w:rPr>
      </w:pPr>
      <w:r w:rsidRPr="003E5A99">
        <w:rPr>
          <w:rFonts w:cs="Open Sans"/>
        </w:rPr>
        <w:t>The provisioning of the service under the agreed service level targets is subject to the following limitations and constraints:</w:t>
      </w:r>
    </w:p>
    <w:p w14:paraId="7DE506FE" w14:textId="77777777" w:rsidR="00045560" w:rsidRPr="003E5A99" w:rsidRDefault="00045560" w:rsidP="00D97F43">
      <w:pPr>
        <w:numPr>
          <w:ilvl w:val="0"/>
          <w:numId w:val="5"/>
        </w:numPr>
        <w:spacing w:after="200"/>
        <w:contextualSpacing/>
        <w:jc w:val="left"/>
        <w:rPr>
          <w:rFonts w:cs="Open Sans"/>
        </w:rPr>
      </w:pPr>
      <w:r w:rsidRPr="003E5A99">
        <w:rPr>
          <w:rFonts w:cs="Open Sans"/>
        </w:rPr>
        <w:t>Support is provided in following language: English</w:t>
      </w:r>
    </w:p>
    <w:p w14:paraId="564A278C" w14:textId="77777777" w:rsidR="00045560" w:rsidRPr="003E5A99" w:rsidRDefault="00045560" w:rsidP="00D97F43">
      <w:pPr>
        <w:numPr>
          <w:ilvl w:val="0"/>
          <w:numId w:val="5"/>
        </w:numPr>
        <w:spacing w:after="200"/>
        <w:contextualSpacing/>
        <w:jc w:val="left"/>
        <w:rPr>
          <w:rFonts w:cs="Open Sans"/>
        </w:rPr>
      </w:pPr>
      <w:r w:rsidRPr="003E5A99">
        <w:rPr>
          <w:rFonts w:cs="Open Sans"/>
        </w:rPr>
        <w:t>Downtimes caused due to upgrades for fixing critical security issues are not considered Agreement violations.</w:t>
      </w:r>
    </w:p>
    <w:p w14:paraId="75DC07A3" w14:textId="77777777" w:rsidR="00045560" w:rsidRPr="003E5A99" w:rsidRDefault="00045560" w:rsidP="00D97F43">
      <w:pPr>
        <w:numPr>
          <w:ilvl w:val="0"/>
          <w:numId w:val="5"/>
        </w:numPr>
        <w:spacing w:after="200"/>
        <w:contextualSpacing/>
        <w:jc w:val="left"/>
        <w:rPr>
          <w:rFonts w:cs="Open Sans"/>
        </w:rPr>
      </w:pPr>
      <w:r w:rsidRPr="003E5A99">
        <w:rPr>
          <w:rFonts w:cs="Open Sans"/>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3E5A99" w:rsidRDefault="00045560" w:rsidP="00D97F43">
      <w:pPr>
        <w:numPr>
          <w:ilvl w:val="1"/>
          <w:numId w:val="5"/>
        </w:numPr>
        <w:spacing w:after="200"/>
        <w:contextualSpacing/>
        <w:jc w:val="left"/>
        <w:rPr>
          <w:rFonts w:cs="Open Sans"/>
        </w:rPr>
      </w:pPr>
      <w:r w:rsidRPr="003E5A99">
        <w:rPr>
          <w:rFonts w:cs="Open Sans"/>
        </w:rPr>
        <w:t xml:space="preserve">fire,  flood,  earthquake  or  natural phenomena, </w:t>
      </w:r>
    </w:p>
    <w:p w14:paraId="3A0C4FD4" w14:textId="77777777" w:rsidR="00045560" w:rsidRPr="003E5A99" w:rsidRDefault="00045560" w:rsidP="00D97F43">
      <w:pPr>
        <w:numPr>
          <w:ilvl w:val="1"/>
          <w:numId w:val="5"/>
        </w:numPr>
        <w:spacing w:after="200"/>
        <w:contextualSpacing/>
        <w:jc w:val="left"/>
        <w:rPr>
          <w:rFonts w:cs="Open Sans"/>
        </w:rPr>
      </w:pPr>
      <w:r w:rsidRPr="003E5A99">
        <w:rPr>
          <w:rFonts w:cs="Open Sans"/>
        </w:rPr>
        <w:t>war, embargo, riot, civil disorder, rebellion, revolution</w:t>
      </w:r>
    </w:p>
    <w:p w14:paraId="7C58C1E5" w14:textId="5AC75CA6" w:rsidR="00045560" w:rsidRDefault="00045560" w:rsidP="003E5A99">
      <w:pPr>
        <w:spacing w:after="200"/>
        <w:ind w:firstLine="720"/>
        <w:contextualSpacing/>
        <w:jc w:val="left"/>
        <w:rPr>
          <w:rFonts w:cs="Open Sans"/>
        </w:rPr>
      </w:pPr>
      <w:proofErr w:type="gramStart"/>
      <w:r w:rsidRPr="003E5A99">
        <w:rPr>
          <w:rFonts w:cs="Open Sans"/>
        </w:rPr>
        <w:t>which</w:t>
      </w:r>
      <w:proofErr w:type="gramEnd"/>
      <w:r w:rsidRPr="003E5A99">
        <w:rPr>
          <w:rFonts w:cs="Open Sans"/>
        </w:rPr>
        <w:t xml:space="preserve"> is beyond the Provider's control, or any other causes beyond the Provider's control</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8325316"/>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8325317"/>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A35C26" w:rsidRDefault="00542830" w:rsidP="0053196A">
            <w:pPr>
              <w:rPr>
                <w:rFonts w:cs="Open Sans"/>
                <w:b/>
              </w:rPr>
            </w:pPr>
            <w:r w:rsidRPr="00A35C26">
              <w:rPr>
                <w:rFonts w:cs="Open Sans"/>
                <w:b/>
              </w:rPr>
              <w:lastRenderedPageBreak/>
              <w:t>Customer contact for the Provider</w:t>
            </w:r>
          </w:p>
        </w:tc>
        <w:tc>
          <w:tcPr>
            <w:tcW w:w="4605" w:type="dxa"/>
            <w:shd w:val="clear" w:color="auto" w:fill="auto"/>
          </w:tcPr>
          <w:p w14:paraId="1451323A" w14:textId="77777777" w:rsidR="0063063E" w:rsidRPr="00A35C26" w:rsidRDefault="00A35C26" w:rsidP="0053196A">
            <w:pPr>
              <w:rPr>
                <w:rFonts w:cs="Open Sans"/>
                <w:lang w:val="it-IT"/>
              </w:rPr>
            </w:pPr>
            <w:r w:rsidRPr="00A35C26">
              <w:rPr>
                <w:rFonts w:cs="Open Sans"/>
                <w:lang w:val="it-IT"/>
              </w:rPr>
              <w:t xml:space="preserve">Peter Solagna </w:t>
            </w:r>
          </w:p>
          <w:p w14:paraId="62484D7A" w14:textId="4A7A2AEB" w:rsidR="00A35C26" w:rsidRPr="00A35C26" w:rsidRDefault="00D7091D" w:rsidP="0053196A">
            <w:pPr>
              <w:rPr>
                <w:rFonts w:cs="Open Sans"/>
                <w:lang w:val="it-IT"/>
              </w:rPr>
            </w:pPr>
            <w:hyperlink r:id="rId12" w:history="1">
              <w:r w:rsidR="00A35C26" w:rsidRPr="00A35C26">
                <w:rPr>
                  <w:rStyle w:val="Hyperlink"/>
                  <w:rFonts w:cs="Open Sans"/>
                  <w:lang w:val="it-IT"/>
                </w:rPr>
                <w:t>operations@egi.eu</w:t>
              </w:r>
            </w:hyperlink>
            <w:r w:rsidR="00A35C26" w:rsidRPr="00A35C2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0A00978B"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0D1F9537" w14:textId="775BB58F" w:rsidR="00542830" w:rsidRPr="0097663A" w:rsidRDefault="00A35C26" w:rsidP="003E5A99">
            <w:r w:rsidRPr="00B8035E">
              <w:rPr>
                <w:rFonts w:cs="Open Sans"/>
              </w:rPr>
              <w:t>NGI Operations manager in respective NGI</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8325318"/>
      <w:r w:rsidRPr="00B97954">
        <w:t>Regular reporting</w:t>
      </w:r>
      <w:bookmarkEnd w:id="22"/>
      <w:bookmarkEnd w:id="23"/>
    </w:p>
    <w:p w14:paraId="1026E5FF" w14:textId="0DB9D896" w:rsidR="003E5A99" w:rsidRPr="003E5A99" w:rsidRDefault="003E5A99" w:rsidP="003E5A99">
      <w:pPr>
        <w:rPr>
          <w:highlight w:val="yellow"/>
        </w:rPr>
      </w:pPr>
      <w:bookmarkStart w:id="24" w:name="_Toc403992933"/>
      <w:r w:rsidRPr="00A775CB">
        <w:t>Reports of the Provider availability, reliability and unknown statistics will be performed on a monthly basis</w:t>
      </w:r>
      <w:r w:rsidR="00A35C26">
        <w:rPr>
          <w:rStyle w:val="FootnoteReference"/>
        </w:rPr>
        <w:footnoteReference w:id="12"/>
      </w:r>
      <w:r w:rsidR="00A35C26">
        <w:t>.</w:t>
      </w:r>
      <w:r w:rsidRPr="003E5A99">
        <w:rPr>
          <w:highlight w:val="yellow"/>
        </w:rPr>
        <w:t xml:space="preserve"> </w:t>
      </w:r>
    </w:p>
    <w:p w14:paraId="334A41F3" w14:textId="2B427201" w:rsidR="00045560" w:rsidRPr="00D63871" w:rsidRDefault="003E5A99" w:rsidP="00D63871">
      <w:r w:rsidRPr="00A775CB">
        <w:t xml:space="preserve">The Provider violating the service </w:t>
      </w:r>
      <w:r w:rsidR="00A775CB" w:rsidRPr="00A775CB">
        <w:t xml:space="preserve">level targets </w:t>
      </w:r>
      <w:r w:rsidRPr="00A775CB">
        <w:t>will be requested to provide justifications by the Customer. The violating provider MUST provide a report. Informa</w:t>
      </w:r>
      <w:r w:rsidR="00A775CB" w:rsidRPr="00A775CB">
        <w:t>tion is exchanged through GGUS ticket</w:t>
      </w:r>
      <w:r w:rsidRPr="00A775CB">
        <w:t>.</w:t>
      </w:r>
    </w:p>
    <w:p w14:paraId="1B838A2D" w14:textId="77777777" w:rsidR="00542830" w:rsidRPr="00B97954" w:rsidRDefault="00542830" w:rsidP="00D206E9">
      <w:pPr>
        <w:pStyle w:val="Heading2"/>
      </w:pPr>
      <w:bookmarkStart w:id="25" w:name="_Toc448325319"/>
      <w:r>
        <w:t>V</w:t>
      </w:r>
      <w:r w:rsidRPr="00B97954">
        <w:t>iolations</w:t>
      </w:r>
      <w:bookmarkEnd w:id="24"/>
      <w:bookmarkEnd w:id="25"/>
    </w:p>
    <w:p w14:paraId="3E32D94D" w14:textId="2490ED48" w:rsidR="003E5A99" w:rsidRPr="00B8035E" w:rsidRDefault="003E5A99" w:rsidP="003E5A99">
      <w:pPr>
        <w:rPr>
          <w:rFonts w:cs="Open Sans"/>
        </w:rPr>
      </w:pPr>
      <w:bookmarkStart w:id="26" w:name="_Toc403992934"/>
      <w:r w:rsidRPr="00B8035E">
        <w:rPr>
          <w:rFonts w:cs="Open Sans"/>
        </w:rPr>
        <w:t>The Provider commits to inform the C</w:t>
      </w:r>
      <w:r w:rsidR="00A775CB">
        <w:rPr>
          <w:rFonts w:cs="Open Sans"/>
        </w:rPr>
        <w:t>ustomer, if the Agreement</w:t>
      </w:r>
      <w:r w:rsidRPr="00B8035E">
        <w:rPr>
          <w:rFonts w:cs="Open Sans"/>
        </w:rPr>
        <w:t xml:space="preserve"> is violated or violation is anticipated. The following rules are agreed for communication in the event of </w:t>
      </w:r>
      <w:r w:rsidR="00A775CB">
        <w:rPr>
          <w:rFonts w:cs="Open Sans"/>
        </w:rPr>
        <w:t>the Agreement</w:t>
      </w:r>
      <w:r w:rsidR="00A775CB" w:rsidRPr="00B8035E">
        <w:rPr>
          <w:rFonts w:cs="Open Sans"/>
        </w:rPr>
        <w:t xml:space="preserve"> </w:t>
      </w:r>
      <w:r w:rsidRPr="00B8035E">
        <w:rPr>
          <w:rFonts w:cs="Open Sans"/>
        </w:rPr>
        <w:t>violation:</w:t>
      </w:r>
    </w:p>
    <w:p w14:paraId="3FC729C0" w14:textId="77777777" w:rsidR="003E5A99" w:rsidRPr="00B8035E" w:rsidRDefault="003E5A99" w:rsidP="003E5A99">
      <w:pPr>
        <w:rPr>
          <w:rFonts w:cs="Open Sans"/>
        </w:rPr>
      </w:pPr>
      <w:r w:rsidRPr="00B8035E">
        <w:rPr>
          <w:rFonts w:cs="Open Sans"/>
        </w:rPr>
        <w:t xml:space="preserve">In case of violating the service targets specified in this document for three consecutive months it is requested to provide justifications and a plan for service enhancement. The Provider must </w:t>
      </w:r>
      <w:r>
        <w:rPr>
          <w:rFonts w:cs="Open Sans"/>
        </w:rPr>
        <w:t>submit</w:t>
      </w:r>
      <w:r w:rsidRPr="00B8035E">
        <w:rPr>
          <w:rFonts w:cs="Open Sans"/>
        </w:rPr>
        <w:t xml:space="preserve"> a status report and a plan for the improvement of the service within 10 working days from the date of notification to the Customer. In case of </w:t>
      </w:r>
      <w:r>
        <w:rPr>
          <w:rFonts w:cs="Open Sans"/>
        </w:rPr>
        <w:t xml:space="preserve">no or </w:t>
      </w:r>
      <w:r w:rsidRPr="00B8035E">
        <w:rPr>
          <w:rFonts w:cs="Open Sans"/>
        </w:rPr>
        <w:t>not satisfactory justification EGI.eu can remove (suspend) the Provider from infrastructure.</w:t>
      </w:r>
    </w:p>
    <w:p w14:paraId="56998F3A" w14:textId="77777777" w:rsidR="003E5A99" w:rsidRPr="00B8035E" w:rsidRDefault="003E5A99" w:rsidP="003E5A99">
      <w:pPr>
        <w:rPr>
          <w:rFonts w:cs="Open Sans"/>
        </w:rPr>
      </w:pPr>
    </w:p>
    <w:p w14:paraId="7C084582" w14:textId="77777777" w:rsidR="00FB2EA4" w:rsidRPr="00D63871" w:rsidRDefault="00FB2EA4" w:rsidP="00D63871"/>
    <w:p w14:paraId="4EE153FA" w14:textId="49C73FEE" w:rsidR="00542830" w:rsidRDefault="00542830" w:rsidP="00D206E9">
      <w:pPr>
        <w:pStyle w:val="Heading2"/>
      </w:pPr>
      <w:bookmarkStart w:id="27" w:name="_Toc448325320"/>
      <w:r w:rsidRPr="00B97954">
        <w:t xml:space="preserve">Escalation </w:t>
      </w:r>
      <w:r>
        <w:t>and</w:t>
      </w:r>
      <w:r w:rsidRPr="00B97954">
        <w:t xml:space="preserve"> complaints</w:t>
      </w:r>
      <w:bookmarkEnd w:id="26"/>
      <w:bookmarkEnd w:id="27"/>
    </w:p>
    <w:p w14:paraId="7D7ABC08" w14:textId="3148F85B" w:rsidR="00A775CB" w:rsidRPr="00A775CB" w:rsidRDefault="00A775CB" w:rsidP="00A775CB">
      <w:pPr>
        <w:rPr>
          <w:rFonts w:cs="Open Sans"/>
        </w:rPr>
      </w:pPr>
      <w:r w:rsidRPr="00A775CB">
        <w:rPr>
          <w:rFonts w:cs="Open Sans"/>
        </w:rPr>
        <w:t>For complaints, the defined Provider contact point shall be used, and the following rules apply:</w:t>
      </w:r>
    </w:p>
    <w:p w14:paraId="688C7D4F" w14:textId="726799C6" w:rsidR="00A775CB" w:rsidRPr="00A775CB" w:rsidRDefault="00A775CB" w:rsidP="00D97F43">
      <w:pPr>
        <w:pStyle w:val="ListParagraph"/>
        <w:numPr>
          <w:ilvl w:val="0"/>
          <w:numId w:val="12"/>
        </w:numPr>
        <w:rPr>
          <w:rFonts w:cs="Open Sans"/>
        </w:rPr>
      </w:pPr>
      <w:r w:rsidRPr="00A775CB">
        <w:rPr>
          <w:rFonts w:cs="Open Sans"/>
        </w:rPr>
        <w:t xml:space="preserve">Complaints should be directed to the customer contact </w:t>
      </w:r>
    </w:p>
    <w:p w14:paraId="03959076" w14:textId="67C197CD" w:rsidR="00FB2EA4" w:rsidRPr="00A775CB" w:rsidRDefault="00A775CB" w:rsidP="00D97F43">
      <w:pPr>
        <w:pStyle w:val="ListParagraph"/>
        <w:numPr>
          <w:ilvl w:val="0"/>
          <w:numId w:val="12"/>
        </w:numPr>
        <w:rPr>
          <w:rFonts w:cs="Open Sans"/>
        </w:rPr>
      </w:pPr>
      <w:r w:rsidRPr="00A775CB">
        <w:rPr>
          <w:rFonts w:cs="Open Sans"/>
        </w:rPr>
        <w:t>The pro</w:t>
      </w:r>
      <w:r>
        <w:rPr>
          <w:rFonts w:cs="Open Sans"/>
        </w:rPr>
        <w:t xml:space="preserve">vider contact </w:t>
      </w:r>
      <w:r w:rsidRPr="00A775CB">
        <w:rPr>
          <w:rFonts w:cs="Open Sans"/>
        </w:rPr>
        <w:t xml:space="preserve">will be contacted in case of received complaints. </w:t>
      </w:r>
    </w:p>
    <w:p w14:paraId="3D1822B4" w14:textId="2129BAA4" w:rsidR="00FB2EA4" w:rsidRPr="00A775CB" w:rsidRDefault="00CC7A3E" w:rsidP="00FB2EA4">
      <w:pPr>
        <w:pStyle w:val="Heading1"/>
      </w:pPr>
      <w:bookmarkStart w:id="28" w:name="_Toc403992935"/>
      <w:bookmarkStart w:id="29" w:name="_Toc448325321"/>
      <w:r>
        <w:t>Information security and</w:t>
      </w:r>
      <w:r w:rsidRPr="00B97954">
        <w:t xml:space="preserve"> data protection</w:t>
      </w:r>
      <w:bookmarkStart w:id="30" w:name="_Toc403992936"/>
      <w:bookmarkEnd w:id="28"/>
      <w:bookmarkEnd w:id="29"/>
    </w:p>
    <w:p w14:paraId="61F828A8" w14:textId="77777777" w:rsidR="00FB2EA4" w:rsidRPr="00A775CB" w:rsidRDefault="00FB2EA4" w:rsidP="00FB2EA4">
      <w:pPr>
        <w:rPr>
          <w:rFonts w:cs="Open Sans"/>
        </w:rPr>
      </w:pPr>
      <w:r w:rsidRPr="00A775CB">
        <w:rPr>
          <w:rFonts w:cs="Open Sans"/>
        </w:rPr>
        <w:t>The following rules for information security and data protection apply:</w:t>
      </w:r>
    </w:p>
    <w:p w14:paraId="083CA9FF" w14:textId="77777777" w:rsidR="00FB2EA4" w:rsidRPr="00A775CB" w:rsidRDefault="00FB2EA4" w:rsidP="00D97F43">
      <w:pPr>
        <w:pStyle w:val="ListParagraph"/>
        <w:numPr>
          <w:ilvl w:val="0"/>
          <w:numId w:val="6"/>
        </w:numPr>
      </w:pPr>
      <w:r w:rsidRPr="00A775CB">
        <w:lastRenderedPageBreak/>
        <w:t>Assertion of absolute security in IT systems is impossible. The Provider is making every effort to maximize security level of users’ data and minimalize possible harm in the event of an incident.</w:t>
      </w:r>
    </w:p>
    <w:p w14:paraId="1A5263DF" w14:textId="77777777" w:rsidR="00FB2EA4" w:rsidRPr="00A775CB" w:rsidRDefault="00FB2EA4" w:rsidP="00D97F43">
      <w:pPr>
        <w:keepLines/>
        <w:widowControl w:val="0"/>
        <w:numPr>
          <w:ilvl w:val="0"/>
          <w:numId w:val="6"/>
        </w:numPr>
        <w:suppressAutoHyphens/>
        <w:spacing w:before="40" w:after="40" w:line="240" w:lineRule="auto"/>
        <w:rPr>
          <w:rFonts w:cs="Open Sans"/>
        </w:rPr>
      </w:pPr>
      <w:r w:rsidRPr="00A775CB">
        <w:rPr>
          <w:rFonts w:cs="Open Sans"/>
        </w:rPr>
        <w:t xml:space="preserve">The Provider must define and abide by an information security and data </w:t>
      </w:r>
      <w:r w:rsidRPr="00A775CB">
        <w:rPr>
          <w:rFonts w:cs="Open Sans"/>
        </w:rPr>
        <w:br/>
        <w:t xml:space="preserve">protection policy related to the service being provided. </w:t>
      </w:r>
    </w:p>
    <w:p w14:paraId="42D500FF" w14:textId="26950B28" w:rsidR="00FB2EA4" w:rsidRPr="00A775CB" w:rsidRDefault="00FB2EA4" w:rsidP="00D97F43">
      <w:pPr>
        <w:keepLines/>
        <w:widowControl w:val="0"/>
        <w:numPr>
          <w:ilvl w:val="0"/>
          <w:numId w:val="6"/>
        </w:numPr>
        <w:suppressAutoHyphens/>
        <w:spacing w:before="40" w:after="40" w:line="240" w:lineRule="auto"/>
        <w:rPr>
          <w:rFonts w:cs="Open Sans"/>
        </w:rPr>
      </w:pPr>
      <w:r w:rsidRPr="00A775CB">
        <w:rPr>
          <w:rFonts w:cs="Open Sans"/>
        </w:rPr>
        <w:t>This must meet all requirements of any relevant EGI policies or procedures</w:t>
      </w:r>
      <w:r w:rsidRPr="00A775CB">
        <w:rPr>
          <w:rStyle w:val="FootnoteReference"/>
          <w:rFonts w:cs="Open Sans"/>
        </w:rPr>
        <w:footnoteReference w:id="13"/>
      </w:r>
      <w:r w:rsidRPr="00A775CB">
        <w:rPr>
          <w:rFonts w:cs="Open Sans"/>
        </w:rPr>
        <w:t xml:space="preserve"> and also must be compliant with the relevant national legislation.</w:t>
      </w:r>
    </w:p>
    <w:p w14:paraId="6127C083" w14:textId="690B204A" w:rsidR="00CC7A3E" w:rsidRDefault="00CC7A3E" w:rsidP="00CE1F5A">
      <w:pPr>
        <w:pStyle w:val="Heading1"/>
      </w:pPr>
      <w:bookmarkStart w:id="31" w:name="_Toc448325322"/>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8325323"/>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D97F43">
      <w:pPr>
        <w:numPr>
          <w:ilvl w:val="0"/>
          <w:numId w:val="10"/>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4"/>
      </w:r>
      <w:r w:rsidRPr="000E6B2B">
        <w:rPr>
          <w:rFonts w:cs="Open Sans"/>
        </w:rPr>
        <w:t xml:space="preserve"> and to other policy documents referenced therein;</w:t>
      </w:r>
    </w:p>
    <w:p w14:paraId="6F1A39A7" w14:textId="77777777" w:rsidR="000E6B2B" w:rsidRPr="000E6B2B" w:rsidRDefault="000E6B2B" w:rsidP="00D97F43">
      <w:pPr>
        <w:numPr>
          <w:ilvl w:val="0"/>
          <w:numId w:val="10"/>
        </w:numPr>
        <w:spacing w:after="200"/>
        <w:contextualSpacing/>
        <w:jc w:val="left"/>
        <w:rPr>
          <w:rFonts w:cs="Open Sans"/>
        </w:rPr>
      </w:pPr>
      <w:r w:rsidRPr="000E6B2B">
        <w:rPr>
          <w:rFonts w:cs="Open Sans"/>
        </w:rPr>
        <w:t>Use communication channel defined in the agreement;</w:t>
      </w:r>
    </w:p>
    <w:p w14:paraId="6FBAE645" w14:textId="521B7170" w:rsidR="007015C5" w:rsidRPr="007015C5" w:rsidRDefault="007015C5" w:rsidP="007015C5">
      <w:pPr>
        <w:numPr>
          <w:ilvl w:val="0"/>
          <w:numId w:val="10"/>
        </w:numPr>
        <w:spacing w:after="200"/>
        <w:contextualSpacing/>
        <w:jc w:val="left"/>
        <w:rPr>
          <w:rFonts w:cs="Open Sans"/>
        </w:rPr>
      </w:pPr>
      <w:r w:rsidRPr="007015C5">
        <w:rPr>
          <w:rFonts w:cs="Open Sans"/>
        </w:rPr>
        <w:t>Be a member of  Operations Management Board (OMB</w:t>
      </w:r>
      <w:r>
        <w:rPr>
          <w:rFonts w:cs="Open Sans"/>
        </w:rPr>
        <w:t>)</w:t>
      </w:r>
      <w:r>
        <w:rPr>
          <w:rStyle w:val="FootnoteReference"/>
          <w:rFonts w:cs="Open Sans"/>
        </w:rPr>
        <w:footnoteReference w:id="15"/>
      </w:r>
      <w:r w:rsidRPr="007015C5">
        <w:rPr>
          <w:rFonts w:cs="Open Sans"/>
        </w:rPr>
        <w:t>;</w:t>
      </w:r>
    </w:p>
    <w:p w14:paraId="5C22B965" w14:textId="350A724E" w:rsidR="000E6B2B" w:rsidRPr="000E6B2B" w:rsidRDefault="000E6B2B" w:rsidP="007015C5">
      <w:pPr>
        <w:numPr>
          <w:ilvl w:val="1"/>
          <w:numId w:val="10"/>
        </w:numPr>
        <w:spacing w:after="200"/>
        <w:contextualSpacing/>
        <w:jc w:val="left"/>
        <w:rPr>
          <w:rFonts w:cs="Open Sans"/>
        </w:rPr>
      </w:pPr>
      <w:r w:rsidRPr="000E6B2B">
        <w:rPr>
          <w:rFonts w:cs="Open Sans"/>
        </w:rPr>
        <w:t>Attend OMB and other operations meeting when needed;</w:t>
      </w:r>
    </w:p>
    <w:p w14:paraId="1C9A11BE" w14:textId="6CD35C3E" w:rsidR="000E6B2B" w:rsidRDefault="000E6B2B" w:rsidP="00D97F43">
      <w:pPr>
        <w:numPr>
          <w:ilvl w:val="0"/>
          <w:numId w:val="10"/>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516F60F" w14:textId="51AD202A" w:rsidR="007015C5" w:rsidRPr="007015C5" w:rsidRDefault="007015C5" w:rsidP="007015C5">
      <w:pPr>
        <w:numPr>
          <w:ilvl w:val="0"/>
          <w:numId w:val="10"/>
        </w:numPr>
        <w:spacing w:after="200"/>
        <w:contextualSpacing/>
        <w:jc w:val="left"/>
        <w:rPr>
          <w:rFonts w:cs="Open Sans"/>
        </w:rPr>
      </w:pPr>
      <w:r w:rsidRPr="007015C5">
        <w:rPr>
          <w:rFonts w:cs="Open Sans"/>
        </w:rPr>
        <w:t xml:space="preserve">Ensure the accuracy </w:t>
      </w:r>
      <w:r>
        <w:rPr>
          <w:rFonts w:cs="Open Sans"/>
        </w:rPr>
        <w:t>of the information in GOCDB</w:t>
      </w:r>
    </w:p>
    <w:p w14:paraId="2CEA6BE7" w14:textId="77777777" w:rsidR="007015C5" w:rsidRPr="007015C5" w:rsidRDefault="007015C5" w:rsidP="007015C5">
      <w:pPr>
        <w:numPr>
          <w:ilvl w:val="1"/>
          <w:numId w:val="10"/>
        </w:numPr>
        <w:spacing w:after="200"/>
        <w:contextualSpacing/>
        <w:jc w:val="left"/>
        <w:rPr>
          <w:rFonts w:cs="Open Sans"/>
        </w:rPr>
      </w:pPr>
      <w:r w:rsidRPr="007015C5">
        <w:rPr>
          <w:rFonts w:cs="Open Sans"/>
        </w:rPr>
        <w:t xml:space="preserve">The Provider contact details (name, phone number, e-mail address) of a set of contact points for security, operational and administrative emergencies </w:t>
      </w:r>
      <w:proofErr w:type="spellStart"/>
      <w:r w:rsidRPr="007015C5">
        <w:rPr>
          <w:rFonts w:cs="Open Sans"/>
        </w:rPr>
        <w:t>etc</w:t>
      </w:r>
      <w:proofErr w:type="spellEnd"/>
      <w:r w:rsidRPr="007015C5">
        <w:rPr>
          <w:rFonts w:cs="Open Sans"/>
        </w:rPr>
        <w:t>;</w:t>
      </w:r>
    </w:p>
    <w:p w14:paraId="383A3737" w14:textId="77777777" w:rsidR="007015C5" w:rsidRPr="007015C5" w:rsidRDefault="007015C5" w:rsidP="007015C5">
      <w:pPr>
        <w:numPr>
          <w:ilvl w:val="1"/>
          <w:numId w:val="10"/>
        </w:numPr>
        <w:spacing w:after="200"/>
        <w:contextualSpacing/>
        <w:jc w:val="left"/>
        <w:rPr>
          <w:rFonts w:cs="Open Sans"/>
        </w:rPr>
      </w:pPr>
      <w:r w:rsidRPr="007015C5">
        <w:rPr>
          <w:rFonts w:cs="Open Sans"/>
        </w:rPr>
        <w:t>Components of the service are registered;</w:t>
      </w:r>
    </w:p>
    <w:p w14:paraId="2C64F899" w14:textId="77777777" w:rsidR="007015C5" w:rsidRPr="007015C5" w:rsidRDefault="007015C5" w:rsidP="007015C5">
      <w:pPr>
        <w:numPr>
          <w:ilvl w:val="1"/>
          <w:numId w:val="10"/>
        </w:numPr>
        <w:spacing w:after="200"/>
        <w:contextualSpacing/>
        <w:jc w:val="left"/>
        <w:rPr>
          <w:rFonts w:cs="Open Sans"/>
        </w:rPr>
      </w:pPr>
      <w:r w:rsidRPr="007015C5">
        <w:rPr>
          <w:rFonts w:cs="Open Sans"/>
        </w:rPr>
        <w:t>The services that are offered by the Provider must be specified;</w:t>
      </w:r>
    </w:p>
    <w:p w14:paraId="5CCEF456" w14:textId="77777777" w:rsidR="007015C5" w:rsidRPr="007015C5" w:rsidRDefault="007015C5" w:rsidP="007015C5">
      <w:pPr>
        <w:numPr>
          <w:ilvl w:val="0"/>
          <w:numId w:val="10"/>
        </w:numPr>
        <w:spacing w:after="200"/>
        <w:contextualSpacing/>
        <w:jc w:val="left"/>
        <w:rPr>
          <w:rFonts w:cs="Open Sans"/>
        </w:rPr>
      </w:pPr>
      <w:r w:rsidRPr="007015C5">
        <w:rPr>
          <w:rFonts w:cs="Open Sans"/>
        </w:rPr>
        <w:t xml:space="preserve">Ensure </w:t>
      </w:r>
    </w:p>
    <w:p w14:paraId="0A806714" w14:textId="47CFAE16" w:rsidR="007015C5" w:rsidRPr="007015C5" w:rsidRDefault="007015C5" w:rsidP="007015C5">
      <w:pPr>
        <w:numPr>
          <w:ilvl w:val="1"/>
          <w:numId w:val="10"/>
        </w:numPr>
        <w:spacing w:after="200"/>
        <w:contextualSpacing/>
        <w:jc w:val="left"/>
        <w:rPr>
          <w:rFonts w:cs="Open Sans"/>
        </w:rPr>
      </w:pPr>
      <w:r w:rsidRPr="007015C5">
        <w:rPr>
          <w:rFonts w:cs="Open Sans"/>
        </w:rPr>
        <w:t>at least one NGI Operations Manager and Regional Staff (ROD) reachable during working hours of supporting organiza</w:t>
      </w:r>
      <w:r>
        <w:rPr>
          <w:rFonts w:cs="Open Sans"/>
        </w:rPr>
        <w:t xml:space="preserve">tion and registered in GOC DB </w:t>
      </w:r>
      <w:r w:rsidRPr="007015C5">
        <w:rPr>
          <w:rFonts w:cs="Open Sans"/>
        </w:rPr>
        <w:t>in respective Operations Centre(s);</w:t>
      </w:r>
    </w:p>
    <w:p w14:paraId="7AFF29F4" w14:textId="68CF0E6D" w:rsidR="007015C5" w:rsidRPr="007015C5" w:rsidRDefault="007015C5" w:rsidP="007015C5">
      <w:pPr>
        <w:numPr>
          <w:ilvl w:val="0"/>
          <w:numId w:val="10"/>
        </w:numPr>
        <w:spacing w:after="200"/>
        <w:contextualSpacing/>
        <w:jc w:val="left"/>
        <w:rPr>
          <w:rFonts w:cs="Open Sans"/>
        </w:rPr>
      </w:pPr>
      <w:r>
        <w:rPr>
          <w:rFonts w:cs="Open Sans"/>
        </w:rPr>
        <w:t>Manage the Resource Centre OLA</w:t>
      </w:r>
      <w:r>
        <w:rPr>
          <w:rStyle w:val="FootnoteReference"/>
          <w:rFonts w:cs="Open Sans"/>
        </w:rPr>
        <w:footnoteReference w:id="16"/>
      </w:r>
      <w:r>
        <w:rPr>
          <w:rFonts w:cs="Open Sans"/>
        </w:rPr>
        <w:t xml:space="preserve"> </w:t>
      </w:r>
      <w:r w:rsidRPr="007015C5">
        <w:rPr>
          <w:rFonts w:cs="Open Sans"/>
        </w:rPr>
        <w:t>with respective Resource Centres:</w:t>
      </w:r>
    </w:p>
    <w:p w14:paraId="29F95E9E" w14:textId="77777777" w:rsidR="007015C5" w:rsidRPr="007015C5" w:rsidRDefault="007015C5" w:rsidP="007015C5">
      <w:pPr>
        <w:numPr>
          <w:ilvl w:val="1"/>
          <w:numId w:val="10"/>
        </w:numPr>
        <w:spacing w:after="200"/>
        <w:contextualSpacing/>
        <w:jc w:val="left"/>
        <w:rPr>
          <w:rFonts w:cs="Open Sans"/>
        </w:rPr>
      </w:pPr>
      <w:r w:rsidRPr="007015C5">
        <w:rPr>
          <w:rFonts w:cs="Open Sans"/>
        </w:rPr>
        <w:t>the services provided by respective Resource Centres are in compliance with the OLA</w:t>
      </w:r>
    </w:p>
    <w:p w14:paraId="5EAF994E" w14:textId="77777777" w:rsidR="007015C5" w:rsidRPr="007015C5" w:rsidRDefault="007015C5" w:rsidP="007015C5">
      <w:pPr>
        <w:numPr>
          <w:ilvl w:val="1"/>
          <w:numId w:val="10"/>
        </w:numPr>
        <w:spacing w:after="200"/>
        <w:contextualSpacing/>
        <w:jc w:val="left"/>
        <w:rPr>
          <w:rFonts w:cs="Open Sans"/>
        </w:rPr>
      </w:pPr>
      <w:r w:rsidRPr="007015C5">
        <w:rPr>
          <w:rFonts w:cs="Open Sans"/>
        </w:rPr>
        <w:t>report on violations and the enforcement of the related procedures and policies</w:t>
      </w:r>
    </w:p>
    <w:p w14:paraId="1199313C" w14:textId="37C955DA" w:rsidR="007015C5" w:rsidRPr="007015C5" w:rsidRDefault="007015C5" w:rsidP="007015C5">
      <w:pPr>
        <w:numPr>
          <w:ilvl w:val="1"/>
          <w:numId w:val="10"/>
        </w:numPr>
        <w:spacing w:after="200"/>
        <w:contextualSpacing/>
        <w:jc w:val="left"/>
        <w:rPr>
          <w:rFonts w:cs="Open Sans"/>
        </w:rPr>
      </w:pPr>
      <w:r w:rsidRPr="007015C5">
        <w:rPr>
          <w:rFonts w:cs="Open Sans"/>
        </w:rPr>
        <w:t>apply the EGI procedures for the management of underperforming Resource Centre and for the re-computation of</w:t>
      </w:r>
      <w:r>
        <w:rPr>
          <w:rFonts w:cs="Open Sans"/>
        </w:rPr>
        <w:t xml:space="preserve"> monitoring results and reports</w:t>
      </w:r>
      <w:r>
        <w:rPr>
          <w:rStyle w:val="FootnoteReference"/>
          <w:rFonts w:cs="Open Sans"/>
        </w:rPr>
        <w:footnoteReference w:id="17"/>
      </w:r>
    </w:p>
    <w:p w14:paraId="3D0293DA" w14:textId="77777777" w:rsidR="007015C5" w:rsidRPr="007015C5" w:rsidRDefault="007015C5" w:rsidP="007015C5">
      <w:pPr>
        <w:numPr>
          <w:ilvl w:val="1"/>
          <w:numId w:val="10"/>
        </w:numPr>
        <w:spacing w:after="200"/>
        <w:contextualSpacing/>
        <w:jc w:val="left"/>
        <w:rPr>
          <w:rFonts w:cs="Open Sans"/>
        </w:rPr>
      </w:pPr>
      <w:r w:rsidRPr="007015C5">
        <w:rPr>
          <w:rFonts w:cs="Open Sans"/>
        </w:rPr>
        <w:lastRenderedPageBreak/>
        <w:t xml:space="preserve">suspend underperforming Resource Centres as applicable </w:t>
      </w:r>
    </w:p>
    <w:p w14:paraId="26EEEFDC" w14:textId="77777777" w:rsidR="007015C5" w:rsidRPr="007015C5" w:rsidRDefault="007015C5" w:rsidP="007015C5">
      <w:pPr>
        <w:numPr>
          <w:ilvl w:val="0"/>
          <w:numId w:val="10"/>
        </w:numPr>
        <w:spacing w:after="200"/>
        <w:contextualSpacing/>
        <w:jc w:val="left"/>
        <w:rPr>
          <w:rFonts w:cs="Open Sans"/>
        </w:rPr>
      </w:pPr>
      <w:r w:rsidRPr="007015C5">
        <w:rPr>
          <w:rFonts w:cs="Open Sans"/>
        </w:rPr>
        <w:t>Provide:</w:t>
      </w:r>
    </w:p>
    <w:p w14:paraId="37748059" w14:textId="3510A9C2" w:rsidR="007015C5" w:rsidRPr="007015C5" w:rsidRDefault="007015C5" w:rsidP="007015C5">
      <w:pPr>
        <w:numPr>
          <w:ilvl w:val="1"/>
          <w:numId w:val="10"/>
        </w:numPr>
        <w:spacing w:after="200"/>
        <w:contextualSpacing/>
        <w:jc w:val="left"/>
        <w:rPr>
          <w:rFonts w:cs="Open Sans"/>
        </w:rPr>
      </w:pPr>
      <w:r w:rsidRPr="007015C5">
        <w:rPr>
          <w:rFonts w:cs="Open Sans"/>
        </w:rPr>
        <w:t>the operational services defined in the document and ensure their interoperation with the EGI.eu ones as applicable;</w:t>
      </w:r>
    </w:p>
    <w:p w14:paraId="0B6C9D5E" w14:textId="77777777" w:rsidR="007015C5" w:rsidRPr="007015C5" w:rsidRDefault="007015C5" w:rsidP="007015C5">
      <w:pPr>
        <w:numPr>
          <w:ilvl w:val="1"/>
          <w:numId w:val="10"/>
        </w:numPr>
        <w:spacing w:after="200"/>
        <w:contextualSpacing/>
        <w:jc w:val="left"/>
        <w:rPr>
          <w:rFonts w:cs="Open Sans"/>
        </w:rPr>
      </w:pPr>
      <w:r w:rsidRPr="007015C5">
        <w:rPr>
          <w:rFonts w:cs="Open Sans"/>
        </w:rPr>
        <w:t>directly or indirectly monitoring to measure fulfilment of agreed service level targets</w:t>
      </w:r>
    </w:p>
    <w:p w14:paraId="60DDDA1E" w14:textId="7AE4D0C6" w:rsidR="007015C5" w:rsidRPr="007015C5" w:rsidRDefault="007015C5" w:rsidP="007015C5">
      <w:pPr>
        <w:numPr>
          <w:ilvl w:val="1"/>
          <w:numId w:val="10"/>
        </w:numPr>
        <w:spacing w:after="200"/>
        <w:contextualSpacing/>
        <w:jc w:val="left"/>
        <w:rPr>
          <w:rFonts w:cs="Open Sans"/>
        </w:rPr>
      </w:pPr>
      <w:r w:rsidRPr="007015C5">
        <w:rPr>
          <w:rFonts w:cs="Open Sans"/>
        </w:rPr>
        <w:t xml:space="preserve">a service desk either </w:t>
      </w:r>
      <w:r>
        <w:rPr>
          <w:rFonts w:cs="Open Sans"/>
        </w:rPr>
        <w:t xml:space="preserve">by using one GGUS support unit </w:t>
      </w:r>
      <w:r w:rsidRPr="007015C5">
        <w:rPr>
          <w:rFonts w:cs="Open Sans"/>
        </w:rPr>
        <w:t>or by using a system which is interfaced with GGUS;</w:t>
      </w:r>
    </w:p>
    <w:p w14:paraId="3A0588DD" w14:textId="77777777" w:rsidR="007015C5" w:rsidRPr="007015C5" w:rsidRDefault="007015C5" w:rsidP="007015C5">
      <w:pPr>
        <w:numPr>
          <w:ilvl w:val="0"/>
          <w:numId w:val="10"/>
        </w:numPr>
        <w:spacing w:after="200"/>
        <w:contextualSpacing/>
        <w:jc w:val="left"/>
        <w:rPr>
          <w:rFonts w:cs="Open Sans"/>
        </w:rPr>
      </w:pPr>
      <w:r w:rsidRPr="007015C5">
        <w:rPr>
          <w:rFonts w:cs="Open Sans"/>
        </w:rPr>
        <w:t>Coordinate local operational security activities and provide operational security support;</w:t>
      </w:r>
    </w:p>
    <w:p w14:paraId="6ABEAD00" w14:textId="4BC2457D" w:rsidR="007015C5" w:rsidRPr="007015C5" w:rsidRDefault="007015C5" w:rsidP="007015C5">
      <w:pPr>
        <w:numPr>
          <w:ilvl w:val="0"/>
          <w:numId w:val="10"/>
        </w:numPr>
        <w:spacing w:after="200"/>
        <w:contextualSpacing/>
        <w:jc w:val="left"/>
        <w:rPr>
          <w:rFonts w:cs="Open Sans"/>
        </w:rPr>
      </w:pPr>
      <w:r>
        <w:rPr>
          <w:rFonts w:cs="Open Sans"/>
        </w:rPr>
        <w:t xml:space="preserve">Contribute to </w:t>
      </w:r>
      <w:r w:rsidRPr="007015C5">
        <w:rPr>
          <w:rFonts w:cs="Open Sans"/>
        </w:rPr>
        <w:t>the development and maintenance of EGI documentation (manuals, procedures, best practices, etc.);</w:t>
      </w:r>
    </w:p>
    <w:p w14:paraId="2FFFC43A" w14:textId="77777777" w:rsidR="007015C5" w:rsidRPr="007015C5" w:rsidRDefault="007015C5" w:rsidP="007015C5">
      <w:pPr>
        <w:numPr>
          <w:ilvl w:val="0"/>
          <w:numId w:val="10"/>
        </w:numPr>
        <w:spacing w:after="200"/>
        <w:contextualSpacing/>
        <w:jc w:val="left"/>
        <w:rPr>
          <w:rFonts w:cs="Open Sans"/>
        </w:rPr>
      </w:pPr>
      <w:r w:rsidRPr="007015C5">
        <w:rPr>
          <w:rFonts w:cs="Open Sans"/>
        </w:rPr>
        <w:t>Responsibilities toward respective Resource Centres:</w:t>
      </w:r>
    </w:p>
    <w:p w14:paraId="0217A13E" w14:textId="77777777" w:rsidR="007015C5" w:rsidRPr="007015C5" w:rsidRDefault="007015C5" w:rsidP="007015C5">
      <w:pPr>
        <w:numPr>
          <w:ilvl w:val="1"/>
          <w:numId w:val="10"/>
        </w:numPr>
        <w:spacing w:after="200"/>
        <w:contextualSpacing/>
        <w:jc w:val="left"/>
        <w:rPr>
          <w:rFonts w:cs="Open Sans"/>
        </w:rPr>
      </w:pPr>
      <w:r w:rsidRPr="007015C5">
        <w:rPr>
          <w:rFonts w:cs="Open Sans"/>
        </w:rPr>
        <w:t>respond to incident and problem records from Resource Centres in a timely manner;</w:t>
      </w:r>
    </w:p>
    <w:p w14:paraId="5F917587" w14:textId="77777777" w:rsidR="007015C5" w:rsidRPr="007015C5" w:rsidRDefault="007015C5" w:rsidP="007015C5">
      <w:pPr>
        <w:numPr>
          <w:ilvl w:val="1"/>
          <w:numId w:val="10"/>
        </w:numPr>
        <w:spacing w:after="200"/>
        <w:contextualSpacing/>
        <w:jc w:val="left"/>
        <w:rPr>
          <w:rFonts w:cs="Open Sans"/>
        </w:rPr>
      </w:pPr>
      <w:r w:rsidRPr="007015C5">
        <w:rPr>
          <w:rFonts w:cs="Open Sans"/>
        </w:rPr>
        <w:t>register Resource Centres and their administrators in GOCDB and in the available helpdesk facilities as applicable;</w:t>
      </w:r>
    </w:p>
    <w:p w14:paraId="6A56AA1D" w14:textId="77777777" w:rsidR="007015C5" w:rsidRPr="007015C5" w:rsidRDefault="007015C5" w:rsidP="007015C5">
      <w:pPr>
        <w:numPr>
          <w:ilvl w:val="1"/>
          <w:numId w:val="10"/>
        </w:numPr>
        <w:spacing w:after="200"/>
        <w:contextualSpacing/>
        <w:jc w:val="left"/>
        <w:rPr>
          <w:rFonts w:cs="Open Sans"/>
        </w:rPr>
      </w:pPr>
      <w:r w:rsidRPr="007015C5">
        <w:rPr>
          <w:rFonts w:cs="Open Sans"/>
        </w:rPr>
        <w:t>collect requirements from Resource Centres and raise any issues deemed necessary by Resource Centre to the attention of EGI and to ensure that these issues are properly dealt with;</w:t>
      </w:r>
    </w:p>
    <w:p w14:paraId="19C904DC" w14:textId="77777777" w:rsidR="007015C5" w:rsidRPr="007015C5" w:rsidRDefault="007015C5" w:rsidP="007015C5">
      <w:pPr>
        <w:numPr>
          <w:ilvl w:val="1"/>
          <w:numId w:val="10"/>
        </w:numPr>
        <w:spacing w:after="200"/>
        <w:contextualSpacing/>
        <w:jc w:val="left"/>
        <w:rPr>
          <w:rFonts w:cs="Open Sans"/>
        </w:rPr>
      </w:pPr>
      <w:r w:rsidRPr="007015C5">
        <w:rPr>
          <w:rFonts w:cs="Open Sans"/>
        </w:rPr>
        <w:t>provide first and second-level support by helping in the resolution of advanced and specialised operational problems that cannot be solved by the Resource Centre;</w:t>
      </w:r>
    </w:p>
    <w:p w14:paraId="4FCC3C18" w14:textId="77777777" w:rsidR="007015C5" w:rsidRPr="007015C5" w:rsidRDefault="007015C5" w:rsidP="007015C5">
      <w:pPr>
        <w:numPr>
          <w:ilvl w:val="2"/>
          <w:numId w:val="10"/>
        </w:numPr>
        <w:spacing w:after="200"/>
        <w:contextualSpacing/>
        <w:jc w:val="left"/>
        <w:rPr>
          <w:rFonts w:cs="Open Sans"/>
        </w:rPr>
      </w:pPr>
      <w:r w:rsidRPr="007015C5">
        <w:rPr>
          <w:rFonts w:cs="Open Sans"/>
        </w:rPr>
        <w:t>If necessary, the Provider will propagate and follow-up problems with higher-level operational or development teams;</w:t>
      </w:r>
    </w:p>
    <w:p w14:paraId="692A4C31" w14:textId="77777777" w:rsidR="007015C5" w:rsidRPr="007015C5" w:rsidRDefault="007015C5" w:rsidP="007015C5">
      <w:pPr>
        <w:numPr>
          <w:ilvl w:val="1"/>
          <w:numId w:val="10"/>
        </w:numPr>
        <w:spacing w:after="200"/>
        <w:contextualSpacing/>
        <w:jc w:val="left"/>
        <w:rPr>
          <w:rFonts w:cs="Open Sans"/>
        </w:rPr>
      </w:pPr>
      <w:r w:rsidRPr="007015C5">
        <w:rPr>
          <w:rFonts w:cs="Open Sans"/>
        </w:rPr>
        <w:t>coordinate and support the deployment of UMD-compliant middleware by the Resource Centres;</w:t>
      </w:r>
    </w:p>
    <w:p w14:paraId="4EAE8D94" w14:textId="3575413B" w:rsidR="007015C5" w:rsidRPr="007015C5" w:rsidRDefault="007015C5" w:rsidP="007015C5">
      <w:pPr>
        <w:numPr>
          <w:ilvl w:val="1"/>
          <w:numId w:val="10"/>
        </w:numPr>
        <w:spacing w:after="200"/>
        <w:contextualSpacing/>
        <w:jc w:val="left"/>
        <w:rPr>
          <w:rFonts w:cs="Open Sans"/>
        </w:rPr>
      </w:pPr>
      <w:r w:rsidRPr="007015C5">
        <w:rPr>
          <w:rFonts w:cs="Open Sans"/>
        </w:rPr>
        <w:t>promote the interoperations between Resource Centres</w:t>
      </w:r>
    </w:p>
    <w:p w14:paraId="13E9C346" w14:textId="2B6E4D6E" w:rsidR="00CC7A3E" w:rsidRPr="00B97954" w:rsidRDefault="00CC7A3E" w:rsidP="00D206E9">
      <w:pPr>
        <w:pStyle w:val="Heading2"/>
      </w:pPr>
      <w:bookmarkStart w:id="34" w:name="_Toc448325324"/>
      <w:r>
        <w:t xml:space="preserve">Of the </w:t>
      </w:r>
      <w:r w:rsidRPr="00B97954">
        <w:t>Customer</w:t>
      </w:r>
      <w:bookmarkEnd w:id="34"/>
      <w:r w:rsidRPr="00B97954">
        <w:t xml:space="preserve"> </w:t>
      </w:r>
      <w:bookmarkEnd w:id="33"/>
    </w:p>
    <w:p w14:paraId="03A853EA" w14:textId="77777777" w:rsidR="000E6B2B" w:rsidRDefault="000E6B2B" w:rsidP="000E6B2B">
      <w:pPr>
        <w:rPr>
          <w:rFonts w:cs="Open Sans"/>
        </w:rPr>
      </w:pPr>
      <w:r w:rsidRPr="00431CB0">
        <w:rPr>
          <w:rFonts w:cs="Open Sans"/>
        </w:rPr>
        <w:t>The responsibilities of the customer are:</w:t>
      </w:r>
    </w:p>
    <w:p w14:paraId="47A0EC15" w14:textId="77777777" w:rsidR="00676250" w:rsidRPr="00676250" w:rsidRDefault="00676250" w:rsidP="00D97F43">
      <w:pPr>
        <w:pStyle w:val="ListParagraph"/>
        <w:numPr>
          <w:ilvl w:val="0"/>
          <w:numId w:val="14"/>
        </w:numPr>
        <w:rPr>
          <w:rFonts w:cs="Open Sans"/>
        </w:rPr>
      </w:pPr>
      <w:r w:rsidRPr="00676250">
        <w:rPr>
          <w:rFonts w:cs="Open Sans"/>
        </w:rPr>
        <w:t>Collect requirements from the Provider and raise any issues deemed necessary by the Provider to the attention of EGI and to ensure that these issues are properly dealt with;</w:t>
      </w:r>
    </w:p>
    <w:p w14:paraId="038DB75A" w14:textId="77777777" w:rsidR="00676250" w:rsidRPr="00676250" w:rsidRDefault="00676250" w:rsidP="00D97F43">
      <w:pPr>
        <w:pStyle w:val="ListParagraph"/>
        <w:numPr>
          <w:ilvl w:val="0"/>
          <w:numId w:val="14"/>
        </w:numPr>
        <w:rPr>
          <w:rFonts w:cs="Open Sans"/>
        </w:rPr>
      </w:pPr>
      <w:r w:rsidRPr="00676250">
        <w:rPr>
          <w:rFonts w:cs="Open Sans"/>
        </w:rPr>
        <w:t>Raise any issues deemed necessary to the attention of the Provider;</w:t>
      </w:r>
    </w:p>
    <w:p w14:paraId="0BE95E60" w14:textId="77777777" w:rsidR="00676250" w:rsidRPr="00676250" w:rsidRDefault="00676250" w:rsidP="00D97F43">
      <w:pPr>
        <w:pStyle w:val="ListParagraph"/>
        <w:numPr>
          <w:ilvl w:val="0"/>
          <w:numId w:val="14"/>
        </w:numPr>
        <w:rPr>
          <w:rFonts w:cs="Open Sans"/>
        </w:rPr>
      </w:pPr>
      <w:r w:rsidRPr="00676250">
        <w:rPr>
          <w:rFonts w:cs="Open Sans"/>
        </w:rPr>
        <w:t>Monitor progress of incident and problem records and to ensure that the Provider works on records opened against them;</w:t>
      </w:r>
    </w:p>
    <w:p w14:paraId="12D6433F" w14:textId="77777777" w:rsidR="00676250" w:rsidRPr="00676250" w:rsidRDefault="00676250" w:rsidP="00D97F43">
      <w:pPr>
        <w:pStyle w:val="ListParagraph"/>
        <w:numPr>
          <w:ilvl w:val="0"/>
          <w:numId w:val="14"/>
        </w:numPr>
        <w:rPr>
          <w:rFonts w:cs="Open Sans"/>
        </w:rPr>
      </w:pPr>
      <w:r w:rsidRPr="00676250">
        <w:rPr>
          <w:rFonts w:cs="Open Sans"/>
        </w:rPr>
        <w:t>Respond to incident and problem records from the Provider in a timely manner;</w:t>
      </w:r>
    </w:p>
    <w:p w14:paraId="40DE8E78" w14:textId="5EF0AF44" w:rsidR="00676250" w:rsidRPr="00676250" w:rsidRDefault="00B5047B" w:rsidP="00B5047B">
      <w:pPr>
        <w:pStyle w:val="ListParagraph"/>
        <w:numPr>
          <w:ilvl w:val="0"/>
          <w:numId w:val="14"/>
        </w:numPr>
        <w:rPr>
          <w:rFonts w:cs="Open Sans"/>
        </w:rPr>
      </w:pPr>
      <w:r w:rsidRPr="00B5047B">
        <w:rPr>
          <w:rFonts w:cs="Open Sans"/>
        </w:rPr>
        <w:t>Provide the EGI Operations service</w:t>
      </w:r>
      <w:r>
        <w:rPr>
          <w:rFonts w:cs="Open Sans"/>
        </w:rPr>
        <w:t xml:space="preserve"> and </w:t>
      </w:r>
      <w:r w:rsidR="00B95C8A">
        <w:rPr>
          <w:rFonts w:cs="Open Sans"/>
        </w:rPr>
        <w:t>activities</w:t>
      </w:r>
      <w:r w:rsidR="00676250" w:rsidRPr="00676250">
        <w:rPr>
          <w:rFonts w:cs="Open Sans"/>
        </w:rPr>
        <w:t>;</w:t>
      </w:r>
    </w:p>
    <w:p w14:paraId="350C6F7B" w14:textId="77777777" w:rsidR="00676250" w:rsidRPr="00676250" w:rsidRDefault="00676250" w:rsidP="00D97F43">
      <w:pPr>
        <w:pStyle w:val="ListParagraph"/>
        <w:numPr>
          <w:ilvl w:val="0"/>
          <w:numId w:val="14"/>
        </w:numPr>
        <w:rPr>
          <w:rFonts w:cs="Open Sans"/>
        </w:rPr>
      </w:pPr>
      <w:r w:rsidRPr="00676250">
        <w:rPr>
          <w:rFonts w:cs="Open Sans"/>
        </w:rPr>
        <w:t xml:space="preserve">Provide monitoring to measure fulfilment of agreed service level targets. </w:t>
      </w:r>
    </w:p>
    <w:p w14:paraId="05EFF7B9" w14:textId="77777777" w:rsidR="00676250" w:rsidRPr="00676250" w:rsidRDefault="00676250" w:rsidP="00D97F43">
      <w:pPr>
        <w:pStyle w:val="ListParagraph"/>
        <w:numPr>
          <w:ilvl w:val="0"/>
          <w:numId w:val="14"/>
        </w:numPr>
        <w:rPr>
          <w:rFonts w:cs="Open Sans"/>
        </w:rPr>
      </w:pPr>
      <w:r w:rsidRPr="00676250">
        <w:rPr>
          <w:rFonts w:cs="Open Sans"/>
        </w:rPr>
        <w:lastRenderedPageBreak/>
        <w:t>Support coordination with other Providers;</w:t>
      </w:r>
    </w:p>
    <w:p w14:paraId="746867A4" w14:textId="0DDCC7C9" w:rsidR="00676250" w:rsidRPr="00676250" w:rsidRDefault="00676250" w:rsidP="00676250">
      <w:pPr>
        <w:rPr>
          <w:rFonts w:cs="Open Sans"/>
        </w:rPr>
      </w:pPr>
      <w:r w:rsidRPr="00676250">
        <w:rPr>
          <w:rFonts w:cs="Open Sans"/>
        </w:rPr>
        <w:t>All responsibilities of the Customer are listed in Resource infrastructure Provider Operationa</w:t>
      </w:r>
      <w:r>
        <w:rPr>
          <w:rFonts w:cs="Open Sans"/>
        </w:rPr>
        <w:t>l Level Agreement document</w:t>
      </w:r>
      <w:r>
        <w:rPr>
          <w:rStyle w:val="FootnoteReference"/>
          <w:rFonts w:cs="Open Sans"/>
        </w:rPr>
        <w:footnoteReference w:id="18"/>
      </w:r>
      <w:r w:rsidRPr="00676250">
        <w:rPr>
          <w:rFonts w:cs="Open Sans"/>
        </w:rPr>
        <w:t>.</w:t>
      </w:r>
    </w:p>
    <w:p w14:paraId="6FC38E0C" w14:textId="0E57C2E8" w:rsidR="00CC7A3E" w:rsidRPr="00B97954" w:rsidRDefault="00CC7A3E" w:rsidP="00CE1F5A">
      <w:pPr>
        <w:pStyle w:val="Heading1"/>
      </w:pPr>
      <w:bookmarkStart w:id="35" w:name="_Toc403992938"/>
      <w:bookmarkStart w:id="36" w:name="_Toc448325325"/>
      <w:r w:rsidRPr="00B97954">
        <w:t>Review</w:t>
      </w:r>
      <w:bookmarkEnd w:id="35"/>
      <w:r>
        <w:t>, extensions and termination</w:t>
      </w:r>
      <w:bookmarkEnd w:id="36"/>
    </w:p>
    <w:p w14:paraId="6FBB15DC" w14:textId="7342F6AF" w:rsidR="00A775CB" w:rsidRDefault="00A775CB" w:rsidP="00A775CB">
      <w:r>
        <w:t>There will be reviews of the service performance against service level targets and of the Agreement at planned intervals with the Customer according to the following rules:</w:t>
      </w:r>
    </w:p>
    <w:p w14:paraId="774292D4" w14:textId="679609AB" w:rsidR="00A775CB" w:rsidRDefault="00A775CB" w:rsidP="00D97F43">
      <w:pPr>
        <w:pStyle w:val="ListParagraph"/>
        <w:numPr>
          <w:ilvl w:val="0"/>
          <w:numId w:val="13"/>
        </w:numPr>
      </w:pPr>
      <w:r>
        <w:t>At least on yearly basis (more frequently if required);</w:t>
      </w:r>
    </w:p>
    <w:p w14:paraId="2E91CEFB" w14:textId="5C009725" w:rsidR="001C68FD" w:rsidRPr="001C68FD" w:rsidRDefault="00A775CB" w:rsidP="00D97F43">
      <w:pPr>
        <w:pStyle w:val="ListParagraph"/>
        <w:numPr>
          <w:ilvl w:val="0"/>
          <w:numId w:val="13"/>
        </w:numPr>
      </w:pPr>
      <w:r>
        <w:t>At the Operations Management Board (OMB) meeting</w:t>
      </w:r>
    </w:p>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1812C" w14:textId="77777777" w:rsidR="00D7091D" w:rsidRDefault="00D7091D" w:rsidP="00835E24">
      <w:pPr>
        <w:spacing w:after="0" w:line="240" w:lineRule="auto"/>
      </w:pPr>
      <w:r>
        <w:separator/>
      </w:r>
    </w:p>
  </w:endnote>
  <w:endnote w:type="continuationSeparator" w:id="0">
    <w:p w14:paraId="209A9596" w14:textId="77777777" w:rsidR="00D7091D" w:rsidRDefault="00D7091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D7091D" w:rsidRDefault="00D7091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7091D" w14:paraId="20E80DE0" w14:textId="77777777" w:rsidTr="00D065EF">
      <w:trPr>
        <w:trHeight w:val="857"/>
      </w:trPr>
      <w:tc>
        <w:tcPr>
          <w:tcW w:w="3060" w:type="dxa"/>
          <w:vAlign w:val="bottom"/>
        </w:tcPr>
        <w:p w14:paraId="5BCF0121" w14:textId="77777777" w:rsidR="00D7091D" w:rsidRDefault="00D7091D"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7091D" w:rsidRDefault="00D7091D" w:rsidP="0053196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0438">
                <w:rPr>
                  <w:noProof/>
                </w:rPr>
                <w:t>6</w:t>
              </w:r>
              <w:r>
                <w:rPr>
                  <w:noProof/>
                </w:rPr>
                <w:fldChar w:fldCharType="end"/>
              </w:r>
            </w:sdtContent>
          </w:sdt>
        </w:p>
      </w:tc>
      <w:tc>
        <w:tcPr>
          <w:tcW w:w="3060" w:type="dxa"/>
          <w:vAlign w:val="bottom"/>
        </w:tcPr>
        <w:p w14:paraId="3CFBBF56" w14:textId="77777777" w:rsidR="00D7091D" w:rsidRDefault="00D7091D" w:rsidP="0053196A">
          <w:pPr>
            <w:pStyle w:val="Header"/>
            <w:jc w:val="right"/>
          </w:pPr>
        </w:p>
      </w:tc>
    </w:tr>
  </w:tbl>
  <w:p w14:paraId="016916BB" w14:textId="77777777" w:rsidR="00D7091D" w:rsidRDefault="00D7091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7091D" w14:paraId="76DB1E08" w14:textId="77777777" w:rsidTr="0010672E">
      <w:tc>
        <w:tcPr>
          <w:tcW w:w="1242" w:type="dxa"/>
          <w:vAlign w:val="center"/>
        </w:tcPr>
        <w:p w14:paraId="1FA522BE" w14:textId="77777777" w:rsidR="00D7091D" w:rsidRDefault="00D7091D"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7091D" w:rsidRPr="00757E35" w:rsidRDefault="00D7091D"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D7091D" w:rsidRPr="00962667" w:rsidRDefault="00D7091D" w:rsidP="00D859A3">
          <w:pPr>
            <w:pStyle w:val="Footer"/>
            <w:jc w:val="center"/>
            <w:rPr>
              <w:i/>
              <w:sz w:val="20"/>
            </w:rPr>
          </w:pPr>
          <w:hyperlink r:id="rId2" w:history="1">
            <w:r w:rsidRPr="00757E35">
              <w:rPr>
                <w:rStyle w:val="Hyperlink"/>
                <w:rFonts w:asciiTheme="minorHAnsi" w:eastAsia="Verdana" w:hAnsiTheme="minorHAnsi"/>
                <w:sz w:val="18"/>
                <w:szCs w:val="18"/>
              </w:rPr>
              <w:t>Creative Commons Attribution 4.0 International License</w:t>
            </w:r>
          </w:hyperlink>
        </w:p>
      </w:tc>
    </w:tr>
    <w:tr w:rsidR="00D7091D" w14:paraId="7924B2F7" w14:textId="77777777" w:rsidTr="0010672E">
      <w:tc>
        <w:tcPr>
          <w:tcW w:w="1242" w:type="dxa"/>
          <w:vAlign w:val="center"/>
        </w:tcPr>
        <w:p w14:paraId="6F8CA869" w14:textId="1B0D6158" w:rsidR="00D7091D" w:rsidRDefault="00D7091D"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D7091D" w:rsidRPr="00220329" w:rsidRDefault="00D7091D"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D7091D" w:rsidRPr="00757E35" w:rsidRDefault="00D7091D" w:rsidP="00D859A3">
          <w:pPr>
            <w:pStyle w:val="Footer"/>
            <w:snapToGrid w:val="0"/>
            <w:jc w:val="center"/>
            <w:rPr>
              <w:rFonts w:asciiTheme="minorHAnsi" w:hAnsiTheme="minorHAnsi"/>
              <w:sz w:val="18"/>
              <w:szCs w:val="18"/>
            </w:rPr>
          </w:pPr>
        </w:p>
      </w:tc>
    </w:tr>
  </w:tbl>
  <w:p w14:paraId="4F1C14D6" w14:textId="77777777" w:rsidR="00D7091D" w:rsidRDefault="00D709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853D3" w14:textId="77777777" w:rsidR="00D7091D" w:rsidRDefault="00D7091D" w:rsidP="00835E24">
      <w:pPr>
        <w:spacing w:after="0" w:line="240" w:lineRule="auto"/>
      </w:pPr>
      <w:r>
        <w:separator/>
      </w:r>
    </w:p>
  </w:footnote>
  <w:footnote w:type="continuationSeparator" w:id="0">
    <w:p w14:paraId="0410FA04" w14:textId="77777777" w:rsidR="00D7091D" w:rsidRDefault="00D7091D" w:rsidP="00835E24">
      <w:pPr>
        <w:spacing w:after="0" w:line="240" w:lineRule="auto"/>
      </w:pPr>
      <w:r>
        <w:continuationSeparator/>
      </w:r>
    </w:p>
  </w:footnote>
  <w:footnote w:id="1">
    <w:p w14:paraId="443C1C37" w14:textId="3E126B92" w:rsidR="00D7091D" w:rsidRDefault="00D7091D">
      <w:pPr>
        <w:pStyle w:val="FootnoteText"/>
      </w:pPr>
      <w:r>
        <w:rPr>
          <w:rStyle w:val="FootnoteReference"/>
        </w:rPr>
        <w:footnoteRef/>
      </w:r>
      <w:r>
        <w:t xml:space="preserve"> </w:t>
      </w:r>
      <w:hyperlink r:id="rId1" w:history="1">
        <w:r w:rsidRPr="006D71D3">
          <w:rPr>
            <w:rStyle w:val="Hyperlink"/>
          </w:rPr>
          <w:t>http://goc.egi.eu/</w:t>
        </w:r>
      </w:hyperlink>
      <w:r>
        <w:t xml:space="preserve"> </w:t>
      </w:r>
    </w:p>
  </w:footnote>
  <w:footnote w:id="2">
    <w:p w14:paraId="40C6EEB6" w14:textId="017B41DC" w:rsidR="00D7091D" w:rsidRDefault="00D7091D">
      <w:pPr>
        <w:pStyle w:val="FootnoteText"/>
      </w:pPr>
      <w:r>
        <w:rPr>
          <w:rStyle w:val="FootnoteReference"/>
        </w:rPr>
        <w:footnoteRef/>
      </w:r>
      <w:r>
        <w:t xml:space="preserve"> </w:t>
      </w:r>
      <w:hyperlink r:id="rId2" w:history="1">
        <w:r w:rsidRPr="00213D64">
          <w:rPr>
            <w:rStyle w:val="Hyperlink"/>
          </w:rPr>
          <w:t>https://wiki.egi.eu/wiki/PROC02</w:t>
        </w:r>
      </w:hyperlink>
      <w:r>
        <w:t xml:space="preserve"> </w:t>
      </w:r>
    </w:p>
  </w:footnote>
  <w:footnote w:id="3">
    <w:p w14:paraId="020A1F31" w14:textId="0EC1F0FC" w:rsidR="00D7091D" w:rsidRDefault="00D7091D">
      <w:pPr>
        <w:pStyle w:val="FootnoteText"/>
      </w:pPr>
      <w:r>
        <w:rPr>
          <w:rStyle w:val="FootnoteReference"/>
        </w:rPr>
        <w:footnoteRef/>
      </w:r>
      <w:r>
        <w:t xml:space="preserve"> </w:t>
      </w:r>
      <w:hyperlink r:id="rId3" w:history="1">
        <w:r w:rsidRPr="00213D64">
          <w:rPr>
            <w:rStyle w:val="Hyperlink"/>
          </w:rPr>
          <w:t>https://wiki.egi.eu/wiki/PROC03</w:t>
        </w:r>
      </w:hyperlink>
      <w:r>
        <w:t xml:space="preserve"> </w:t>
      </w:r>
    </w:p>
  </w:footnote>
  <w:footnote w:id="4">
    <w:p w14:paraId="093EFAFD" w14:textId="3A195BD1" w:rsidR="00D7091D" w:rsidRDefault="00D7091D">
      <w:pPr>
        <w:pStyle w:val="FootnoteText"/>
      </w:pPr>
      <w:r>
        <w:rPr>
          <w:rStyle w:val="FootnoteReference"/>
        </w:rPr>
        <w:footnoteRef/>
      </w:r>
      <w:r>
        <w:t xml:space="preserve"> </w:t>
      </w:r>
      <w:hyperlink r:id="rId4" w:history="1">
        <w:r w:rsidRPr="006D71D3">
          <w:rPr>
            <w:rStyle w:val="Hyperlink"/>
          </w:rPr>
          <w:t>https://wiki.egi.eu/wiki/OMB</w:t>
        </w:r>
      </w:hyperlink>
      <w:r>
        <w:t xml:space="preserve"> </w:t>
      </w:r>
    </w:p>
  </w:footnote>
  <w:footnote w:id="5">
    <w:p w14:paraId="7408DE8E" w14:textId="25D7A314" w:rsidR="00D7091D" w:rsidRDefault="00D7091D">
      <w:pPr>
        <w:pStyle w:val="FootnoteText"/>
      </w:pPr>
      <w:r>
        <w:rPr>
          <w:rStyle w:val="FootnoteReference"/>
        </w:rPr>
        <w:footnoteRef/>
      </w:r>
      <w:r>
        <w:t xml:space="preserve"> </w:t>
      </w:r>
      <w:hyperlink r:id="rId5" w:history="1">
        <w:r w:rsidRPr="006D71D3">
          <w:rPr>
            <w:rStyle w:val="Hyperlink"/>
          </w:rPr>
          <w:t>http://ggus.eu/</w:t>
        </w:r>
      </w:hyperlink>
      <w:r>
        <w:t xml:space="preserve"> </w:t>
      </w:r>
    </w:p>
  </w:footnote>
  <w:footnote w:id="6">
    <w:p w14:paraId="563F3737" w14:textId="296F420D" w:rsidR="00D7091D" w:rsidRDefault="00D7091D">
      <w:pPr>
        <w:pStyle w:val="FootnoteText"/>
      </w:pPr>
      <w:r>
        <w:rPr>
          <w:rStyle w:val="FootnoteReference"/>
        </w:rPr>
        <w:footnoteRef/>
      </w:r>
      <w:r>
        <w:t xml:space="preserve"> </w:t>
      </w:r>
      <w:hyperlink r:id="rId6" w:anchor="Services" w:history="1">
        <w:r w:rsidRPr="00213D64">
          <w:rPr>
            <w:rStyle w:val="Hyperlink"/>
            <w:rFonts w:asciiTheme="minorHAnsi" w:hAnsiTheme="minorHAnsi" w:cs="Open Sans"/>
          </w:rPr>
          <w:t>https://wiki.egi.eu/wiki/NGI_service</w:t>
        </w:r>
        <w:bookmarkStart w:id="1" w:name="_GoBack"/>
        <w:bookmarkEnd w:id="1"/>
        <w:r w:rsidRPr="00213D64">
          <w:rPr>
            <w:rStyle w:val="Hyperlink"/>
            <w:rFonts w:asciiTheme="minorHAnsi" w:hAnsiTheme="minorHAnsi" w:cs="Open Sans"/>
          </w:rPr>
          <w:t>s_in_GOCDB#Services</w:t>
        </w:r>
      </w:hyperlink>
      <w:r>
        <w:rPr>
          <w:rFonts w:asciiTheme="minorHAnsi" w:hAnsiTheme="minorHAnsi" w:cs="Open Sans"/>
        </w:rPr>
        <w:t xml:space="preserve"> </w:t>
      </w:r>
    </w:p>
  </w:footnote>
  <w:footnote w:id="7">
    <w:p w14:paraId="5B885417" w14:textId="77777777" w:rsidR="00D7091D" w:rsidRPr="00021E80" w:rsidRDefault="00D7091D" w:rsidP="00045560">
      <w:pPr>
        <w:pStyle w:val="FootnoteText"/>
      </w:pPr>
      <w:r>
        <w:rPr>
          <w:rStyle w:val="FootnoteReference"/>
        </w:rPr>
        <w:footnoteRef/>
      </w:r>
      <w:r>
        <w:t xml:space="preserve"> </w:t>
      </w:r>
      <w:hyperlink r:id="rId7" w:anchor="Downtimes" w:history="1">
        <w:r w:rsidRPr="00D63D74">
          <w:rPr>
            <w:rStyle w:val="Hyperlink"/>
            <w:rFonts w:cs="Cambria"/>
          </w:rPr>
          <w:t>https://wiki.egi.eu/wiki/GOCDB/Input_System_User_Documentation#Downtimes</w:t>
        </w:r>
      </w:hyperlink>
    </w:p>
  </w:footnote>
  <w:footnote w:id="8">
    <w:p w14:paraId="180ED4EB" w14:textId="77777777" w:rsidR="00D7091D" w:rsidRDefault="00D7091D" w:rsidP="00045560">
      <w:pPr>
        <w:pStyle w:val="FootnoteText"/>
      </w:pPr>
      <w:r>
        <w:rPr>
          <w:rStyle w:val="FootnoteReference"/>
        </w:rPr>
        <w:footnoteRef/>
      </w:r>
      <w:r>
        <w:t xml:space="preserve"> </w:t>
      </w:r>
      <w:hyperlink r:id="rId8" w:history="1">
        <w:r w:rsidRPr="00B97954">
          <w:rPr>
            <w:rStyle w:val="Hyperlink"/>
            <w:rFonts w:eastAsia="Calibri" w:cs="Open Sans"/>
            <w:lang w:val="pl-PL"/>
          </w:rPr>
          <w:t>http://goc.egi.eu/</w:t>
        </w:r>
      </w:hyperlink>
    </w:p>
  </w:footnote>
  <w:footnote w:id="9">
    <w:p w14:paraId="0C0AF7B1" w14:textId="77777777" w:rsidR="00D7091D" w:rsidRDefault="00D7091D" w:rsidP="00045560">
      <w:pPr>
        <w:pStyle w:val="FootnoteText"/>
      </w:pPr>
      <w:r>
        <w:rPr>
          <w:rStyle w:val="FootnoteReference"/>
        </w:rPr>
        <w:footnoteRef/>
      </w:r>
      <w:r>
        <w:t xml:space="preserve"> </w:t>
      </w:r>
      <w:hyperlink r:id="rId9" w:history="1">
        <w:r w:rsidRPr="00AD3F62">
          <w:rPr>
            <w:rStyle w:val="Hyperlink"/>
          </w:rPr>
          <w:t>https://operations-portal.egi.eu/broadcast</w:t>
        </w:r>
      </w:hyperlink>
      <w:r>
        <w:t xml:space="preserve"> </w:t>
      </w:r>
    </w:p>
  </w:footnote>
  <w:footnote w:id="10">
    <w:p w14:paraId="534B3E70" w14:textId="77777777" w:rsidR="00D7091D" w:rsidRDefault="00D7091D" w:rsidP="00045560">
      <w:pPr>
        <w:pStyle w:val="FootnoteText"/>
      </w:pPr>
      <w:r>
        <w:rPr>
          <w:rStyle w:val="FootnoteReference"/>
        </w:rPr>
        <w:footnoteRef/>
      </w:r>
      <w:r>
        <w:t xml:space="preserve"> </w:t>
      </w:r>
      <w:hyperlink r:id="rId10" w:history="1">
        <w:r w:rsidRPr="00D63D74">
          <w:rPr>
            <w:rStyle w:val="Hyperlink"/>
            <w:rFonts w:cs="Cambria"/>
          </w:rPr>
          <w:t>https://www.egi.eu/sso/</w:t>
        </w:r>
      </w:hyperlink>
    </w:p>
  </w:footnote>
  <w:footnote w:id="11">
    <w:p w14:paraId="1DBCDB2E" w14:textId="77777777" w:rsidR="00D7091D" w:rsidRDefault="00D7091D" w:rsidP="00045560">
      <w:pPr>
        <w:pStyle w:val="FootnoteText"/>
      </w:pPr>
      <w:r>
        <w:rPr>
          <w:rStyle w:val="FootnoteReference"/>
        </w:rPr>
        <w:footnoteRef/>
      </w:r>
      <w:r>
        <w:t xml:space="preserve"> </w:t>
      </w:r>
      <w:hyperlink r:id="rId11" w:history="1">
        <w:r w:rsidRPr="00886941">
          <w:rPr>
            <w:rStyle w:val="Hyperlink"/>
          </w:rPr>
          <w:t>https://wiki.egi.eu/wiki/FAQ_GGUS-Ticket-Priority</w:t>
        </w:r>
      </w:hyperlink>
      <w:r>
        <w:t xml:space="preserve"> </w:t>
      </w:r>
    </w:p>
  </w:footnote>
  <w:footnote w:id="12">
    <w:p w14:paraId="2DB6A658" w14:textId="577C7594" w:rsidR="00D7091D" w:rsidRDefault="00D7091D">
      <w:pPr>
        <w:pStyle w:val="FootnoteText"/>
      </w:pPr>
      <w:r>
        <w:rPr>
          <w:rStyle w:val="FootnoteReference"/>
        </w:rPr>
        <w:footnoteRef/>
      </w:r>
      <w:r>
        <w:t xml:space="preserve"> </w:t>
      </w:r>
      <w:hyperlink r:id="rId12" w:anchor="Resource_infrastructure_Provider_performance" w:history="1">
        <w:r w:rsidRPr="00213D64">
          <w:rPr>
            <w:rStyle w:val="Hyperlink"/>
          </w:rPr>
          <w:t>https://wiki.egi.eu/wiki/Performance#Resource_infrastructure_Provider_performance</w:t>
        </w:r>
      </w:hyperlink>
      <w:r>
        <w:t xml:space="preserve"> </w:t>
      </w:r>
    </w:p>
  </w:footnote>
  <w:footnote w:id="13">
    <w:p w14:paraId="2EB0A75C" w14:textId="77777777" w:rsidR="00D7091D" w:rsidRDefault="00D7091D" w:rsidP="00FB2EA4">
      <w:pPr>
        <w:pStyle w:val="FootnoteText"/>
      </w:pPr>
      <w:r>
        <w:rPr>
          <w:rStyle w:val="FootnoteReference"/>
        </w:rPr>
        <w:footnoteRef/>
      </w:r>
      <w:r>
        <w:t xml:space="preserve"> </w:t>
      </w:r>
      <w:hyperlink r:id="rId13" w:history="1">
        <w:r w:rsidRPr="00B97954">
          <w:rPr>
            <w:rStyle w:val="Hyperlink"/>
            <w:rFonts w:cs="Open Sans"/>
          </w:rPr>
          <w:t>https://www.egi.eu/about/policy/policies_procedures.html</w:t>
        </w:r>
      </w:hyperlink>
    </w:p>
  </w:footnote>
  <w:footnote w:id="14">
    <w:p w14:paraId="3706E93F" w14:textId="66B4BF11" w:rsidR="00D7091D" w:rsidRDefault="00D7091D">
      <w:pPr>
        <w:pStyle w:val="FootnoteText"/>
      </w:pPr>
      <w:r>
        <w:rPr>
          <w:rStyle w:val="FootnoteReference"/>
        </w:rPr>
        <w:footnoteRef/>
      </w:r>
      <w:r>
        <w:t xml:space="preserve"> </w:t>
      </w:r>
      <w:hyperlink r:id="rId14" w:history="1">
        <w:r w:rsidRPr="00A83B69">
          <w:rPr>
            <w:rStyle w:val="Hyperlink"/>
          </w:rPr>
          <w:t>https://www.egi.eu/about/policy/policies_procedures.html</w:t>
        </w:r>
      </w:hyperlink>
      <w:r>
        <w:t xml:space="preserve"> </w:t>
      </w:r>
    </w:p>
  </w:footnote>
  <w:footnote w:id="15">
    <w:p w14:paraId="7F8F82C2" w14:textId="77777777" w:rsidR="00D7091D" w:rsidRDefault="00D7091D" w:rsidP="007015C5">
      <w:pPr>
        <w:pStyle w:val="FootnoteText"/>
      </w:pPr>
      <w:r>
        <w:rPr>
          <w:rStyle w:val="FootnoteReference"/>
        </w:rPr>
        <w:footnoteRef/>
      </w:r>
      <w:r>
        <w:t xml:space="preserve"> </w:t>
      </w:r>
      <w:hyperlink r:id="rId15" w:history="1">
        <w:r w:rsidRPr="00A83B69">
          <w:rPr>
            <w:rStyle w:val="Hyperlink"/>
          </w:rPr>
          <w:t>https://wiki.egi.eu/wiki/OMB</w:t>
        </w:r>
      </w:hyperlink>
      <w:r>
        <w:t xml:space="preserve"> </w:t>
      </w:r>
    </w:p>
  </w:footnote>
  <w:footnote w:id="16">
    <w:p w14:paraId="6A6956E5" w14:textId="4F1618CE" w:rsidR="00D7091D" w:rsidRDefault="00D7091D">
      <w:pPr>
        <w:pStyle w:val="FootnoteText"/>
      </w:pPr>
      <w:r>
        <w:rPr>
          <w:rStyle w:val="FootnoteReference"/>
        </w:rPr>
        <w:footnoteRef/>
      </w:r>
      <w:r>
        <w:t xml:space="preserve"> </w:t>
      </w:r>
      <w:hyperlink r:id="rId16" w:history="1">
        <w:r w:rsidRPr="00213D64">
          <w:rPr>
            <w:rStyle w:val="Hyperlink"/>
          </w:rPr>
          <w:t>https://documents.egi.eu/document/31</w:t>
        </w:r>
      </w:hyperlink>
      <w:r>
        <w:t xml:space="preserve"> </w:t>
      </w:r>
    </w:p>
  </w:footnote>
  <w:footnote w:id="17">
    <w:p w14:paraId="41EF618A" w14:textId="121E7239" w:rsidR="00D7091D" w:rsidRDefault="00D7091D">
      <w:pPr>
        <w:pStyle w:val="FootnoteText"/>
      </w:pPr>
      <w:r>
        <w:rPr>
          <w:rStyle w:val="FootnoteReference"/>
        </w:rPr>
        <w:footnoteRef/>
      </w:r>
      <w:r>
        <w:t xml:space="preserve"> </w:t>
      </w:r>
      <w:hyperlink r:id="rId17" w:history="1">
        <w:r w:rsidRPr="00213D64">
          <w:rPr>
            <w:rStyle w:val="Hyperlink"/>
          </w:rPr>
          <w:t>https://wiki.egi.eu/wiki/PROC04</w:t>
        </w:r>
      </w:hyperlink>
      <w:r>
        <w:t xml:space="preserve"> </w:t>
      </w:r>
    </w:p>
  </w:footnote>
  <w:footnote w:id="18">
    <w:p w14:paraId="69E91F5E" w14:textId="5F98849B" w:rsidR="00D7091D" w:rsidRDefault="00D7091D">
      <w:pPr>
        <w:pStyle w:val="FootnoteText"/>
      </w:pPr>
      <w:r>
        <w:rPr>
          <w:rStyle w:val="FootnoteReference"/>
        </w:rPr>
        <w:footnoteRef/>
      </w:r>
      <w:r>
        <w:t xml:space="preserve"> </w:t>
      </w:r>
      <w:hyperlink r:id="rId18" w:history="1">
        <w:r w:rsidRPr="00B8035E">
          <w:rPr>
            <w:rStyle w:val="Hyperlink"/>
            <w:rFonts w:cs="Open Sans"/>
          </w:rPr>
          <w:t>https://documents.egi.eu/public/ShowDocument?docid=463</w:t>
        </w:r>
      </w:hyperlink>
      <w:r>
        <w:rPr>
          <w:rFonts w:cs="Open San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2B4D8D"/>
    <w:multiLevelType w:val="hybridMultilevel"/>
    <w:tmpl w:val="BDFC079C"/>
    <w:lvl w:ilvl="0" w:tplc="810AD7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040F1"/>
    <w:multiLevelType w:val="hybridMultilevel"/>
    <w:tmpl w:val="6F5810DA"/>
    <w:lvl w:ilvl="0" w:tplc="810AD7D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76B77E3"/>
    <w:multiLevelType w:val="hybridMultilevel"/>
    <w:tmpl w:val="25B041A4"/>
    <w:lvl w:ilvl="0" w:tplc="810AD7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7F2239"/>
    <w:multiLevelType w:val="hybridMultilevel"/>
    <w:tmpl w:val="396E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5C5BDD"/>
    <w:multiLevelType w:val="hybridMultilevel"/>
    <w:tmpl w:val="EBEA1C76"/>
    <w:lvl w:ilvl="0" w:tplc="810AD7D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11"/>
  </w:num>
  <w:num w:numId="6">
    <w:abstractNumId w:val="2"/>
  </w:num>
  <w:num w:numId="7">
    <w:abstractNumId w:val="13"/>
  </w:num>
  <w:num w:numId="8">
    <w:abstractNumId w:val="9"/>
  </w:num>
  <w:num w:numId="9">
    <w:abstractNumId w:val="7"/>
  </w:num>
  <w:num w:numId="10">
    <w:abstractNumId w:val="3"/>
  </w:num>
  <w:num w:numId="11">
    <w:abstractNumId w:val="10"/>
  </w:num>
  <w:num w:numId="12">
    <w:abstractNumId w:val="12"/>
  </w:num>
  <w:num w:numId="13">
    <w:abstractNumId w:val="5"/>
  </w:num>
  <w:num w:numId="14">
    <w:abstractNumId w:val="15"/>
  </w:num>
  <w:num w:numId="15">
    <w:abstractNumId w:val="0"/>
  </w:num>
  <w:num w:numId="16">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4B20"/>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1F83"/>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E5A99"/>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02D58"/>
    <w:rsid w:val="005238F3"/>
    <w:rsid w:val="0053196A"/>
    <w:rsid w:val="005320AD"/>
    <w:rsid w:val="005349BE"/>
    <w:rsid w:val="00542830"/>
    <w:rsid w:val="00547D9A"/>
    <w:rsid w:val="00551BFA"/>
    <w:rsid w:val="0056751B"/>
    <w:rsid w:val="0059011D"/>
    <w:rsid w:val="00592516"/>
    <w:rsid w:val="005962E0"/>
    <w:rsid w:val="005A339C"/>
    <w:rsid w:val="005B4FC6"/>
    <w:rsid w:val="005B58AA"/>
    <w:rsid w:val="005C01CF"/>
    <w:rsid w:val="005C355D"/>
    <w:rsid w:val="005D14DF"/>
    <w:rsid w:val="005D18AA"/>
    <w:rsid w:val="005D2951"/>
    <w:rsid w:val="005D5F45"/>
    <w:rsid w:val="005E29D7"/>
    <w:rsid w:val="005E2BD7"/>
    <w:rsid w:val="005E5D31"/>
    <w:rsid w:val="005F1B1D"/>
    <w:rsid w:val="0060639B"/>
    <w:rsid w:val="0063063E"/>
    <w:rsid w:val="006669E7"/>
    <w:rsid w:val="00676250"/>
    <w:rsid w:val="006971E0"/>
    <w:rsid w:val="00697308"/>
    <w:rsid w:val="006B45F3"/>
    <w:rsid w:val="006D1955"/>
    <w:rsid w:val="006D527C"/>
    <w:rsid w:val="006E7D9B"/>
    <w:rsid w:val="006F7556"/>
    <w:rsid w:val="007015C5"/>
    <w:rsid w:val="0072045A"/>
    <w:rsid w:val="00730316"/>
    <w:rsid w:val="0073233F"/>
    <w:rsid w:val="00733386"/>
    <w:rsid w:val="00753446"/>
    <w:rsid w:val="00764C78"/>
    <w:rsid w:val="007677FE"/>
    <w:rsid w:val="00782A92"/>
    <w:rsid w:val="00794E5E"/>
    <w:rsid w:val="007A3ECC"/>
    <w:rsid w:val="007B6C0B"/>
    <w:rsid w:val="007C78CA"/>
    <w:rsid w:val="007D7104"/>
    <w:rsid w:val="00813ED4"/>
    <w:rsid w:val="00835E24"/>
    <w:rsid w:val="00840515"/>
    <w:rsid w:val="00873234"/>
    <w:rsid w:val="008765EB"/>
    <w:rsid w:val="00884A91"/>
    <w:rsid w:val="008B1E35"/>
    <w:rsid w:val="008B2F11"/>
    <w:rsid w:val="008B4217"/>
    <w:rsid w:val="008C0D21"/>
    <w:rsid w:val="008D1EC3"/>
    <w:rsid w:val="008E25E7"/>
    <w:rsid w:val="008E3DE9"/>
    <w:rsid w:val="008F31E7"/>
    <w:rsid w:val="008F5101"/>
    <w:rsid w:val="009138D4"/>
    <w:rsid w:val="00931656"/>
    <w:rsid w:val="00935098"/>
    <w:rsid w:val="009475CB"/>
    <w:rsid w:val="00947A45"/>
    <w:rsid w:val="0097663A"/>
    <w:rsid w:val="00976A73"/>
    <w:rsid w:val="009849A7"/>
    <w:rsid w:val="00995A40"/>
    <w:rsid w:val="009A295C"/>
    <w:rsid w:val="009C77B1"/>
    <w:rsid w:val="009F1E23"/>
    <w:rsid w:val="009F5A4E"/>
    <w:rsid w:val="009F6A2D"/>
    <w:rsid w:val="00A001E1"/>
    <w:rsid w:val="00A00438"/>
    <w:rsid w:val="00A05867"/>
    <w:rsid w:val="00A312B2"/>
    <w:rsid w:val="00A35C26"/>
    <w:rsid w:val="00A5267D"/>
    <w:rsid w:val="00A53F7F"/>
    <w:rsid w:val="00A67816"/>
    <w:rsid w:val="00A77123"/>
    <w:rsid w:val="00A775CB"/>
    <w:rsid w:val="00AB042E"/>
    <w:rsid w:val="00AB3B0C"/>
    <w:rsid w:val="00B107DD"/>
    <w:rsid w:val="00B46C00"/>
    <w:rsid w:val="00B5047B"/>
    <w:rsid w:val="00B60F00"/>
    <w:rsid w:val="00B70698"/>
    <w:rsid w:val="00B80B7D"/>
    <w:rsid w:val="00B80FB4"/>
    <w:rsid w:val="00B85B70"/>
    <w:rsid w:val="00B91B16"/>
    <w:rsid w:val="00B95C8A"/>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7091D"/>
    <w:rsid w:val="00D83740"/>
    <w:rsid w:val="00D859A3"/>
    <w:rsid w:val="00D9315C"/>
    <w:rsid w:val="00D95F48"/>
    <w:rsid w:val="00D97E64"/>
    <w:rsid w:val="00D97F43"/>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EE5DE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46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FAQ_GGUS-Ticket-Priority" TargetMode="External"/><Relationship Id="rId12" Type="http://schemas.openxmlformats.org/officeDocument/2006/relationships/hyperlink" Target="https://wiki.egi.eu/wiki/Performance" TargetMode="External"/><Relationship Id="rId13" Type="http://schemas.openxmlformats.org/officeDocument/2006/relationships/hyperlink" Target="https://www.egi.eu/about/policy/policies_procedures.html" TargetMode="External"/><Relationship Id="rId14" Type="http://schemas.openxmlformats.org/officeDocument/2006/relationships/hyperlink" Target="https://www.egi.eu/about/policy/policies_procedures.html" TargetMode="External"/><Relationship Id="rId15" Type="http://schemas.openxmlformats.org/officeDocument/2006/relationships/hyperlink" Target="https://wiki.egi.eu/wiki/OMB" TargetMode="External"/><Relationship Id="rId16" Type="http://schemas.openxmlformats.org/officeDocument/2006/relationships/hyperlink" Target="https://documents.egi.eu/document/31" TargetMode="External"/><Relationship Id="rId17" Type="http://schemas.openxmlformats.org/officeDocument/2006/relationships/hyperlink" Target="https://wiki.egi.eu/wiki/PROC04" TargetMode="External"/><Relationship Id="rId18" Type="http://schemas.openxmlformats.org/officeDocument/2006/relationships/hyperlink" Target="https://documents.egi.eu/public/ShowDocument?docid=463" TargetMode="External"/><Relationship Id="rId1" Type="http://schemas.openxmlformats.org/officeDocument/2006/relationships/hyperlink" Target="http://goc.egi.eu/" TargetMode="External"/><Relationship Id="rId2" Type="http://schemas.openxmlformats.org/officeDocument/2006/relationships/hyperlink" Target="https://wiki.egi.eu/wiki/PROC02" TargetMode="External"/><Relationship Id="rId3" Type="http://schemas.openxmlformats.org/officeDocument/2006/relationships/hyperlink" Target="https://wiki.egi.eu/wiki/PROC03" TargetMode="External"/><Relationship Id="rId4" Type="http://schemas.openxmlformats.org/officeDocument/2006/relationships/hyperlink" Target="https://wiki.egi.eu/wiki/OMB" TargetMode="External"/><Relationship Id="rId5" Type="http://schemas.openxmlformats.org/officeDocument/2006/relationships/hyperlink" Target="http://ggus.eu/" TargetMode="External"/><Relationship Id="rId6" Type="http://schemas.openxmlformats.org/officeDocument/2006/relationships/hyperlink" Target="https://wiki.egi.eu/wiki/NGI_services_in_GOCDB" TargetMode="External"/><Relationship Id="rId7" Type="http://schemas.openxmlformats.org/officeDocument/2006/relationships/hyperlink" Target="https://wiki.egi.eu/wiki/GOCDB/Input_System_User_Documentation" TargetMode="External"/><Relationship Id="rId8" Type="http://schemas.openxmlformats.org/officeDocument/2006/relationships/hyperlink" Target="http://goc.egi.eu/" TargetMode="External"/><Relationship Id="rId9" Type="http://schemas.openxmlformats.org/officeDocument/2006/relationships/hyperlink" Target="https://operations-portal.egi.eu/broadcast" TargetMode="External"/><Relationship Id="rId10"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5B58-0EEA-BB4A-91C7-062B98E3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2172</Words>
  <Characters>12386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2016-06-30T07:53:00Z</dcterms:created>
  <dcterms:modified xsi:type="dcterms:W3CDTF">2016-06-30T07:53:00Z</dcterms:modified>
</cp:coreProperties>
</file>