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3" w:rsidRPr="006242E0" w:rsidRDefault="00002C5D" w:rsidP="00C974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ACTION LIST</w:t>
      </w:r>
      <w:r w:rsidR="001A3A86" w:rsidRPr="006242E0">
        <w:rPr>
          <w:b/>
          <w:sz w:val="20"/>
          <w:szCs w:val="20"/>
        </w:rPr>
        <w:t xml:space="preserve"> ISGTW BOARD MEETING, </w:t>
      </w:r>
      <w:r>
        <w:rPr>
          <w:b/>
          <w:sz w:val="20"/>
          <w:szCs w:val="20"/>
        </w:rPr>
        <w:t>JULY 22</w:t>
      </w:r>
      <w:r w:rsidR="001A3A86" w:rsidRPr="006242E0">
        <w:rPr>
          <w:b/>
          <w:sz w:val="20"/>
          <w:szCs w:val="20"/>
        </w:rPr>
        <w:t>, 2011</w:t>
      </w:r>
    </w:p>
    <w:p w:rsidR="0096388F" w:rsidRPr="006242E0" w:rsidRDefault="00545543" w:rsidP="00193AD3">
      <w:pPr>
        <w:jc w:val="center"/>
        <w:rPr>
          <w:rStyle w:val="apple-style-span"/>
          <w:color w:val="000000"/>
          <w:sz w:val="20"/>
          <w:szCs w:val="20"/>
        </w:rPr>
      </w:pPr>
      <w:r w:rsidRPr="006242E0">
        <w:rPr>
          <w:sz w:val="20"/>
          <w:szCs w:val="20"/>
        </w:rPr>
        <w:t>9</w:t>
      </w:r>
      <w:proofErr w:type="gramStart"/>
      <w:r w:rsidRPr="006242E0">
        <w:rPr>
          <w:sz w:val="20"/>
          <w:szCs w:val="20"/>
        </w:rPr>
        <w:t>am</w:t>
      </w:r>
      <w:proofErr w:type="gramEnd"/>
      <w:r w:rsidRPr="006242E0">
        <w:rPr>
          <w:sz w:val="20"/>
          <w:szCs w:val="20"/>
        </w:rPr>
        <w:t xml:space="preserve"> Chicago</w:t>
      </w:r>
      <w:r w:rsidR="00475891" w:rsidRPr="006242E0">
        <w:rPr>
          <w:sz w:val="20"/>
          <w:szCs w:val="20"/>
        </w:rPr>
        <w:t xml:space="preserve"> </w:t>
      </w:r>
      <w:r w:rsidRPr="006242E0">
        <w:rPr>
          <w:sz w:val="20"/>
          <w:szCs w:val="20"/>
        </w:rPr>
        <w:t>/4pm Geneva</w:t>
      </w:r>
    </w:p>
    <w:p w:rsidR="007017B0" w:rsidRPr="006242E0" w:rsidRDefault="007017B0" w:rsidP="007017B0">
      <w:pPr>
        <w:rPr>
          <w:sz w:val="20"/>
          <w:szCs w:val="20"/>
        </w:rPr>
      </w:pPr>
    </w:p>
    <w:p w:rsidR="0096388F" w:rsidRPr="006242E0" w:rsidRDefault="0096388F" w:rsidP="00475891">
      <w:pPr>
        <w:rPr>
          <w:sz w:val="20"/>
          <w:szCs w:val="20"/>
        </w:rPr>
      </w:pPr>
    </w:p>
    <w:p w:rsidR="00475891" w:rsidRPr="006242E0" w:rsidRDefault="00475891" w:rsidP="00475891">
      <w:pPr>
        <w:rPr>
          <w:b/>
          <w:sz w:val="20"/>
          <w:szCs w:val="20"/>
        </w:rPr>
      </w:pPr>
      <w:r w:rsidRPr="006242E0">
        <w:rPr>
          <w:b/>
          <w:sz w:val="20"/>
          <w:szCs w:val="20"/>
        </w:rPr>
        <w:t>Summary of Actions</w:t>
      </w:r>
    </w:p>
    <w:p w:rsidR="00475891" w:rsidRPr="006242E0" w:rsidRDefault="00475891" w:rsidP="0047589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560"/>
        <w:gridCol w:w="1276"/>
        <w:gridCol w:w="3041"/>
      </w:tblGrid>
      <w:tr w:rsidR="00A6503C" w:rsidRPr="006242E0" w:rsidTr="00A6503C">
        <w:tc>
          <w:tcPr>
            <w:tcW w:w="3368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ACTION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RESPONSIBLE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DEADLINE</w:t>
            </w:r>
          </w:p>
        </w:tc>
        <w:tc>
          <w:tcPr>
            <w:tcW w:w="3041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Status</w:t>
            </w:r>
          </w:p>
        </w:tc>
      </w:tr>
      <w:tr w:rsidR="008862DC" w:rsidRPr="006242E0" w:rsidTr="00A6503C">
        <w:tc>
          <w:tcPr>
            <w:tcW w:w="3368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20101209:1 The EU side to look for one additional person for their side of the Board; Bob to keep all informed</w:t>
            </w:r>
          </w:p>
        </w:tc>
        <w:tc>
          <w:tcPr>
            <w:tcW w:w="1560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Bob Jones</w:t>
            </w:r>
          </w:p>
        </w:tc>
        <w:tc>
          <w:tcPr>
            <w:tcW w:w="1276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8862DC" w:rsidRPr="006242E0" w:rsidRDefault="008862DC" w:rsidP="00D019D4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EU is still looking; to address further in the part of the </w:t>
            </w:r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>July</w:t>
            </w: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7 agenda marked “Board Composition”</w:t>
            </w:r>
          </w:p>
        </w:tc>
      </w:tr>
      <w:tr w:rsidR="008862DC" w:rsidRPr="006242E0" w:rsidTr="00A6503C">
        <w:tc>
          <w:tcPr>
            <w:tcW w:w="3368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20101209:2 Mission </w:t>
            </w:r>
            <w:proofErr w:type="gramStart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statement</w:t>
            </w:r>
            <w:proofErr w:type="gramEnd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to be revisited in summer 2011, well after the </w:t>
            </w:r>
            <w:proofErr w:type="spellStart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relaunch</w:t>
            </w:r>
            <w:proofErr w:type="spellEnd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is finished.</w:t>
            </w:r>
          </w:p>
        </w:tc>
        <w:tc>
          <w:tcPr>
            <w:tcW w:w="1560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Board</w:t>
            </w:r>
          </w:p>
        </w:tc>
        <w:tc>
          <w:tcPr>
            <w:tcW w:w="1276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Agenda point</w:t>
            </w:r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“Review of Mission Statement”</w:t>
            </w:r>
          </w:p>
          <w:p w:rsidR="008862DC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</w:p>
        </w:tc>
      </w:tr>
      <w:tr w:rsidR="00A37108" w:rsidRPr="006242E0" w:rsidTr="00A6503C">
        <w:tc>
          <w:tcPr>
            <w:tcW w:w="3368" w:type="dxa"/>
          </w:tcPr>
          <w:p w:rsidR="00A37108" w:rsidRPr="006242E0" w:rsidRDefault="008862DC" w:rsidP="008862DC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20101209:3</w:t>
            </w: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Tag hierarchy</w:t>
            </w:r>
          </w:p>
        </w:tc>
        <w:tc>
          <w:tcPr>
            <w:tcW w:w="1560" w:type="dxa"/>
          </w:tcPr>
          <w:p w:rsidR="00A37108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Editorial team</w:t>
            </w:r>
          </w:p>
        </w:tc>
        <w:tc>
          <w:tcPr>
            <w:tcW w:w="1276" w:type="dxa"/>
          </w:tcPr>
          <w:p w:rsidR="00A37108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37108" w:rsidRPr="006242E0" w:rsidRDefault="008862DC" w:rsidP="00527398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To be discussed at Fermi meeting before 22 July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8866C9">
            <w:pPr>
              <w:rPr>
                <w:sz w:val="20"/>
                <w:szCs w:val="20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20110407:1 </w:t>
            </w:r>
            <w:r w:rsidRPr="006242E0">
              <w:rPr>
                <w:sz w:val="20"/>
                <w:szCs w:val="20"/>
              </w:rPr>
              <w:t>Circulate draft marketing strategy before the beginning of May.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Jacqui Hayes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1 May</w:t>
            </w:r>
          </w:p>
        </w:tc>
        <w:tc>
          <w:tcPr>
            <w:tcW w:w="3041" w:type="dxa"/>
          </w:tcPr>
          <w:p w:rsidR="00A6503C" w:rsidRPr="006242E0" w:rsidRDefault="00D019D4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ACHIEVED – Recommend to close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8866C9">
            <w:pPr>
              <w:rPr>
                <w:sz w:val="20"/>
                <w:szCs w:val="20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0110407:2 </w:t>
            </w:r>
            <w:r w:rsidRPr="006242E0">
              <w:rPr>
                <w:sz w:val="20"/>
                <w:szCs w:val="20"/>
              </w:rPr>
              <w:t>Board to discuss name change at next board meeting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Catherine Gater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Agenda point</w:t>
            </w:r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“Trademarking and new name”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5C3B1D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20110407:3 C</w:t>
            </w:r>
            <w:r w:rsidRPr="006242E0">
              <w:rPr>
                <w:sz w:val="20"/>
                <w:szCs w:val="20"/>
              </w:rPr>
              <w:t>heck geographical boundaries of Fermi’s name check.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Miriam Boon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A6503C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A6503C">
              <w:rPr>
                <w:rStyle w:val="apple-style-span"/>
                <w:bCs/>
                <w:color w:val="000000"/>
                <w:sz w:val="20"/>
                <w:szCs w:val="20"/>
              </w:rPr>
              <w:t>Waiting for an answer from the lawyer on this one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F34080">
            <w:pPr>
              <w:rPr>
                <w:sz w:val="20"/>
                <w:szCs w:val="20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20110407:4 Register </w:t>
            </w:r>
            <w:r w:rsidRPr="006242E0">
              <w:rPr>
                <w:sz w:val="20"/>
                <w:szCs w:val="20"/>
              </w:rPr>
              <w:t>“</w:t>
            </w:r>
            <w:proofErr w:type="spellStart"/>
            <w:r w:rsidRPr="006242E0">
              <w:rPr>
                <w:sz w:val="20"/>
                <w:szCs w:val="20"/>
              </w:rPr>
              <w:t>iSGTW</w:t>
            </w:r>
            <w:proofErr w:type="spellEnd"/>
            <w:r w:rsidRPr="006242E0">
              <w:rPr>
                <w:sz w:val="20"/>
                <w:szCs w:val="20"/>
              </w:rPr>
              <w:t>” in Switzerland as a trade mark, and register in EU if possible.</w:t>
            </w:r>
          </w:p>
        </w:tc>
        <w:tc>
          <w:tcPr>
            <w:tcW w:w="1560" w:type="dxa"/>
          </w:tcPr>
          <w:p w:rsidR="00A6503C" w:rsidRPr="006242E0" w:rsidRDefault="00A6503C" w:rsidP="008866C9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Bob Jones</w:t>
            </w:r>
          </w:p>
        </w:tc>
        <w:tc>
          <w:tcPr>
            <w:tcW w:w="1276" w:type="dxa"/>
          </w:tcPr>
          <w:p w:rsidR="00A6503C" w:rsidRPr="006242E0" w:rsidRDefault="00A6503C" w:rsidP="008866C9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D019D4" w:rsidP="008866C9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ACHIEVED</w:t>
            </w:r>
            <w:r w:rsid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– registered in 3 classes, checks in France, UK, Benelux and US</w:t>
            </w: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. Recommend to close.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8866C9">
            <w:pPr>
              <w:rPr>
                <w:sz w:val="20"/>
                <w:szCs w:val="20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20110407:5 </w:t>
            </w:r>
            <w:r w:rsidRPr="006242E0">
              <w:rPr>
                <w:sz w:val="20"/>
                <w:szCs w:val="20"/>
              </w:rPr>
              <w:t>Investigate costs involved with registering “</w:t>
            </w:r>
            <w:proofErr w:type="spellStart"/>
            <w:r w:rsidRPr="006242E0">
              <w:rPr>
                <w:sz w:val="20"/>
                <w:szCs w:val="20"/>
              </w:rPr>
              <w:t>iSGTW</w:t>
            </w:r>
            <w:proofErr w:type="spellEnd"/>
            <w:r w:rsidRPr="006242E0">
              <w:rPr>
                <w:sz w:val="20"/>
                <w:szCs w:val="20"/>
              </w:rPr>
              <w:t>” as a trade mark in US and register if possible.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Miriam Boon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Costs and timeline identified. Determined that unless we decide to keep </w:t>
            </w:r>
            <w:proofErr w:type="spellStart"/>
            <w:r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>iSGTW</w:t>
            </w:r>
            <w:proofErr w:type="spellEnd"/>
            <w:r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as a name, that the process is too lengthy (7 months to two years for approval) and expensive to be worthwhile.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475891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20110407:6 Find out how </w:t>
            </w:r>
            <w:proofErr w:type="spellStart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Fermilab</w:t>
            </w:r>
            <w:proofErr w:type="spellEnd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will respond to future legal challenges to a new name and to </w:t>
            </w:r>
            <w:proofErr w:type="spellStart"/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iSGTW</w:t>
            </w:r>
            <w:proofErr w:type="spellEnd"/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Miriam Boon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D019D4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Lawyer response not very clear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475891">
            <w:pPr>
              <w:rPr>
                <w:sz w:val="20"/>
                <w:szCs w:val="20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20110407:7 </w:t>
            </w:r>
            <w:r w:rsidRPr="006242E0">
              <w:rPr>
                <w:sz w:val="20"/>
                <w:szCs w:val="20"/>
              </w:rPr>
              <w:t xml:space="preserve">Circulate proposal for creative commons </w:t>
            </w:r>
            <w:proofErr w:type="spellStart"/>
            <w:r w:rsidRPr="006242E0">
              <w:rPr>
                <w:sz w:val="20"/>
                <w:szCs w:val="20"/>
              </w:rPr>
              <w:t>licences</w:t>
            </w:r>
            <w:proofErr w:type="spellEnd"/>
            <w:r w:rsidRPr="006242E0">
              <w:rPr>
                <w:sz w:val="20"/>
                <w:szCs w:val="20"/>
              </w:rPr>
              <w:t xml:space="preserve"> and copyright covering content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Catherine Gater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1 May</w:t>
            </w:r>
          </w:p>
        </w:tc>
        <w:tc>
          <w:tcPr>
            <w:tcW w:w="3041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Attached to agenda for discussion</w:t>
            </w:r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. Discuss under “Trademarking </w:t>
            </w:r>
            <w:proofErr w:type="spellStart"/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>iSGTW</w:t>
            </w:r>
            <w:proofErr w:type="spellEnd"/>
            <w:r w:rsidR="00D019D4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and new name”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475891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20110407:8 Update on removing bots form mailing list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Miriam Boon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D019D4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C</w:t>
            </w:r>
            <w:r w:rsidR="00A6503C"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ollaborated to develop a list of likely spam accounts, and drafted a letter to them warning that their account was in danger of being deleted. Working on getting an update on this from </w:t>
            </w:r>
            <w:proofErr w:type="spellStart"/>
            <w:r w:rsidR="00A6503C"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>Xenomedia</w:t>
            </w:r>
            <w:proofErr w:type="spellEnd"/>
            <w:r w:rsidR="00A6503C" w:rsidRPr="00A6503C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in order to find out if that email has been sent and/or the non-responders have been removed.</w:t>
            </w:r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475891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20110407:9 </w:t>
            </w:r>
            <w:r w:rsidRPr="006242E0">
              <w:rPr>
                <w:sz w:val="20"/>
                <w:szCs w:val="20"/>
              </w:rPr>
              <w:t>Board members to discuss bi-weekly contribution of editorial material from the US side.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Catherine Gater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D019D4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Editorial team working on this during F2F meetings this week.</w:t>
            </w:r>
            <w:r w:rsidR="000A500B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 Cover under agenda point “Publishing process”</w:t>
            </w:r>
            <w:bookmarkStart w:id="0" w:name="_GoBack"/>
            <w:bookmarkEnd w:id="0"/>
          </w:p>
        </w:tc>
      </w:tr>
      <w:tr w:rsidR="00A6503C" w:rsidRPr="006242E0" w:rsidTr="00A6503C">
        <w:tc>
          <w:tcPr>
            <w:tcW w:w="3368" w:type="dxa"/>
          </w:tcPr>
          <w:p w:rsidR="00A6503C" w:rsidRPr="006242E0" w:rsidRDefault="00A6503C" w:rsidP="00F34080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 xml:space="preserve">20110407:10 </w:t>
            </w:r>
            <w:r w:rsidRPr="006242E0">
              <w:rPr>
                <w:sz w:val="20"/>
                <w:szCs w:val="20"/>
              </w:rPr>
              <w:t>Propose a process for handling controversial stories to give board early warning, including for breaking news</w:t>
            </w:r>
          </w:p>
        </w:tc>
        <w:tc>
          <w:tcPr>
            <w:tcW w:w="1560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Miriam Boon and Jacqui Hayes</w:t>
            </w:r>
          </w:p>
        </w:tc>
        <w:tc>
          <w:tcPr>
            <w:tcW w:w="1276" w:type="dxa"/>
          </w:tcPr>
          <w:p w:rsidR="00A6503C" w:rsidRPr="006242E0" w:rsidRDefault="00A6503C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 w:rsidRPr="006242E0">
              <w:rPr>
                <w:rFonts w:eastAsia="Times New Roman"/>
                <w:sz w:val="20"/>
                <w:szCs w:val="20"/>
                <w:lang w:val="en-GB" w:eastAsia="en-GB" w:bidi="ar-SA"/>
              </w:rPr>
              <w:t>22 July</w:t>
            </w:r>
          </w:p>
        </w:tc>
        <w:tc>
          <w:tcPr>
            <w:tcW w:w="3041" w:type="dxa"/>
          </w:tcPr>
          <w:p w:rsidR="00A6503C" w:rsidRPr="006242E0" w:rsidRDefault="000A500B" w:rsidP="0096388F">
            <w:pPr>
              <w:rPr>
                <w:rFonts w:eastAsia="Times New Roman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en-GB" w:bidi="ar-SA"/>
              </w:rPr>
              <w:t>Draft to be presented on 22 July</w:t>
            </w:r>
          </w:p>
        </w:tc>
      </w:tr>
    </w:tbl>
    <w:p w:rsidR="00545543" w:rsidRPr="006242E0" w:rsidRDefault="00545543">
      <w:pPr>
        <w:rPr>
          <w:sz w:val="20"/>
          <w:szCs w:val="20"/>
        </w:rPr>
      </w:pPr>
    </w:p>
    <w:sectPr w:rsidR="00545543" w:rsidRPr="006242E0" w:rsidSect="009A25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803"/>
    <w:multiLevelType w:val="hybridMultilevel"/>
    <w:tmpl w:val="D21C3AC6"/>
    <w:lvl w:ilvl="0" w:tplc="C3BA535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51DD"/>
    <w:multiLevelType w:val="hybridMultilevel"/>
    <w:tmpl w:val="87EE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69FE"/>
    <w:multiLevelType w:val="hybridMultilevel"/>
    <w:tmpl w:val="4C76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140C"/>
    <w:multiLevelType w:val="hybridMultilevel"/>
    <w:tmpl w:val="87EE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6"/>
    <w:rsid w:val="00002C5D"/>
    <w:rsid w:val="00093B6B"/>
    <w:rsid w:val="000A500B"/>
    <w:rsid w:val="000C5E51"/>
    <w:rsid w:val="00151892"/>
    <w:rsid w:val="00164600"/>
    <w:rsid w:val="00193AD3"/>
    <w:rsid w:val="001A09F5"/>
    <w:rsid w:val="001A3A86"/>
    <w:rsid w:val="00220EFA"/>
    <w:rsid w:val="00255FB7"/>
    <w:rsid w:val="002823B5"/>
    <w:rsid w:val="00285421"/>
    <w:rsid w:val="002B1A2A"/>
    <w:rsid w:val="003A2337"/>
    <w:rsid w:val="003A4388"/>
    <w:rsid w:val="003C44DE"/>
    <w:rsid w:val="00415BC0"/>
    <w:rsid w:val="004471D6"/>
    <w:rsid w:val="0046264A"/>
    <w:rsid w:val="00475891"/>
    <w:rsid w:val="005221CE"/>
    <w:rsid w:val="00545543"/>
    <w:rsid w:val="005C3B1D"/>
    <w:rsid w:val="006242E0"/>
    <w:rsid w:val="007017B0"/>
    <w:rsid w:val="00731B8A"/>
    <w:rsid w:val="00807EF6"/>
    <w:rsid w:val="00813C19"/>
    <w:rsid w:val="008862DC"/>
    <w:rsid w:val="008866C9"/>
    <w:rsid w:val="008E7E68"/>
    <w:rsid w:val="008F720B"/>
    <w:rsid w:val="0096388F"/>
    <w:rsid w:val="009A25DE"/>
    <w:rsid w:val="00A37108"/>
    <w:rsid w:val="00A65015"/>
    <w:rsid w:val="00A6503C"/>
    <w:rsid w:val="00A81DEC"/>
    <w:rsid w:val="00A97AD5"/>
    <w:rsid w:val="00BF64B9"/>
    <w:rsid w:val="00C326DE"/>
    <w:rsid w:val="00C65FA1"/>
    <w:rsid w:val="00C9742D"/>
    <w:rsid w:val="00D019D4"/>
    <w:rsid w:val="00D742F3"/>
    <w:rsid w:val="00E40D5B"/>
    <w:rsid w:val="00E465B6"/>
    <w:rsid w:val="00EC20F5"/>
    <w:rsid w:val="00F34080"/>
    <w:rsid w:val="00F3698B"/>
    <w:rsid w:val="00F77A25"/>
    <w:rsid w:val="00F8513D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8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8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8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8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8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8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8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8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8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8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18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8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8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8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8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8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8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8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8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8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892"/>
    <w:rPr>
      <w:b/>
      <w:bCs/>
    </w:rPr>
  </w:style>
  <w:style w:type="character" w:styleId="Emphasis">
    <w:name w:val="Emphasis"/>
    <w:basedOn w:val="DefaultParagraphFont"/>
    <w:uiPriority w:val="20"/>
    <w:qFormat/>
    <w:rsid w:val="001518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892"/>
    <w:rPr>
      <w:szCs w:val="32"/>
    </w:rPr>
  </w:style>
  <w:style w:type="paragraph" w:styleId="ListParagraph">
    <w:name w:val="List Paragraph"/>
    <w:basedOn w:val="Normal"/>
    <w:uiPriority w:val="34"/>
    <w:qFormat/>
    <w:rsid w:val="001518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8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8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92"/>
    <w:rPr>
      <w:b/>
      <w:i/>
      <w:sz w:val="24"/>
    </w:rPr>
  </w:style>
  <w:style w:type="character" w:styleId="SubtleEmphasis">
    <w:name w:val="Subtle Emphasis"/>
    <w:uiPriority w:val="19"/>
    <w:qFormat/>
    <w:rsid w:val="001518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8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8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8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8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892"/>
    <w:pPr>
      <w:outlineLvl w:val="9"/>
    </w:pPr>
  </w:style>
  <w:style w:type="character" w:customStyle="1" w:styleId="apple-style-span">
    <w:name w:val="apple-style-span"/>
    <w:basedOn w:val="DefaultParagraphFont"/>
    <w:rsid w:val="0096388F"/>
  </w:style>
  <w:style w:type="character" w:styleId="Hyperlink">
    <w:name w:val="Hyperlink"/>
    <w:basedOn w:val="DefaultParagraphFont"/>
    <w:uiPriority w:val="99"/>
    <w:semiHidden/>
    <w:unhideWhenUsed/>
    <w:rsid w:val="0096388F"/>
    <w:rPr>
      <w:color w:val="0000FF"/>
      <w:u w:val="single"/>
    </w:rPr>
  </w:style>
  <w:style w:type="character" w:customStyle="1" w:styleId="il">
    <w:name w:val="il"/>
    <w:basedOn w:val="DefaultParagraphFont"/>
    <w:rsid w:val="0096388F"/>
  </w:style>
  <w:style w:type="character" w:customStyle="1" w:styleId="apple-converted-space">
    <w:name w:val="apple-converted-space"/>
    <w:basedOn w:val="DefaultParagraphFont"/>
    <w:rsid w:val="0096388F"/>
  </w:style>
  <w:style w:type="table" w:styleId="TableGrid">
    <w:name w:val="Table Grid"/>
    <w:basedOn w:val="TableNormal"/>
    <w:uiPriority w:val="59"/>
    <w:rsid w:val="0096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8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8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8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8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8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8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8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8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8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8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18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8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8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8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8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8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8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8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8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8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892"/>
    <w:rPr>
      <w:b/>
      <w:bCs/>
    </w:rPr>
  </w:style>
  <w:style w:type="character" w:styleId="Emphasis">
    <w:name w:val="Emphasis"/>
    <w:basedOn w:val="DefaultParagraphFont"/>
    <w:uiPriority w:val="20"/>
    <w:qFormat/>
    <w:rsid w:val="001518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892"/>
    <w:rPr>
      <w:szCs w:val="32"/>
    </w:rPr>
  </w:style>
  <w:style w:type="paragraph" w:styleId="ListParagraph">
    <w:name w:val="List Paragraph"/>
    <w:basedOn w:val="Normal"/>
    <w:uiPriority w:val="34"/>
    <w:qFormat/>
    <w:rsid w:val="001518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8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8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92"/>
    <w:rPr>
      <w:b/>
      <w:i/>
      <w:sz w:val="24"/>
    </w:rPr>
  </w:style>
  <w:style w:type="character" w:styleId="SubtleEmphasis">
    <w:name w:val="Subtle Emphasis"/>
    <w:uiPriority w:val="19"/>
    <w:qFormat/>
    <w:rsid w:val="001518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8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8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8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8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892"/>
    <w:pPr>
      <w:outlineLvl w:val="9"/>
    </w:pPr>
  </w:style>
  <w:style w:type="character" w:customStyle="1" w:styleId="apple-style-span">
    <w:name w:val="apple-style-span"/>
    <w:basedOn w:val="DefaultParagraphFont"/>
    <w:rsid w:val="0096388F"/>
  </w:style>
  <w:style w:type="character" w:styleId="Hyperlink">
    <w:name w:val="Hyperlink"/>
    <w:basedOn w:val="DefaultParagraphFont"/>
    <w:uiPriority w:val="99"/>
    <w:semiHidden/>
    <w:unhideWhenUsed/>
    <w:rsid w:val="0096388F"/>
    <w:rPr>
      <w:color w:val="0000FF"/>
      <w:u w:val="single"/>
    </w:rPr>
  </w:style>
  <w:style w:type="character" w:customStyle="1" w:styleId="il">
    <w:name w:val="il"/>
    <w:basedOn w:val="DefaultParagraphFont"/>
    <w:rsid w:val="0096388F"/>
  </w:style>
  <w:style w:type="character" w:customStyle="1" w:styleId="apple-converted-space">
    <w:name w:val="apple-converted-space"/>
    <w:basedOn w:val="DefaultParagraphFont"/>
    <w:rsid w:val="0096388F"/>
  </w:style>
  <w:style w:type="table" w:styleId="TableGrid">
    <w:name w:val="Table Grid"/>
    <w:basedOn w:val="TableNormal"/>
    <w:uiPriority w:val="59"/>
    <w:rsid w:val="0096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DDROLLET</dc:creator>
  <cp:lastModifiedBy>Catherine</cp:lastModifiedBy>
  <cp:revision>4</cp:revision>
  <dcterms:created xsi:type="dcterms:W3CDTF">2011-07-22T10:51:00Z</dcterms:created>
  <dcterms:modified xsi:type="dcterms:W3CDTF">2011-07-22T10:55:00Z</dcterms:modified>
</cp:coreProperties>
</file>